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2438"/>
        <w:gridCol w:w="6663"/>
      </w:tblGrid>
      <w:tr w:rsidR="00CE544A" w:rsidRPr="003E4C33" w14:paraId="2F63F022" w14:textId="77777777" w:rsidTr="06E0A23A">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663" w:type="dxa"/>
          </w:tcPr>
          <w:p w14:paraId="15BDDA14" w14:textId="7F65CEB7"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 Single Member Decision </w:t>
            </w:r>
          </w:p>
        </w:tc>
      </w:tr>
      <w:tr w:rsidR="00CE544A" w:rsidRPr="003E4C33" w14:paraId="33BEC222" w14:textId="77777777" w:rsidTr="06E0A23A">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663" w:type="dxa"/>
          </w:tcPr>
          <w:p w14:paraId="24B44B70" w14:textId="7094E41B" w:rsidR="00F445B1" w:rsidRPr="00C55247" w:rsidRDefault="009038F8" w:rsidP="007B5CA2">
            <w:pPr>
              <w:rPr>
                <w:rFonts w:cs="Arial"/>
                <w:b/>
                <w:bCs/>
                <w:color w:val="auto"/>
              </w:rPr>
            </w:pPr>
            <w:r>
              <w:rPr>
                <w:rStyle w:val="Firstpagetablebold"/>
                <w:b w:val="0"/>
              </w:rPr>
              <w:t>1</w:t>
            </w:r>
            <w:r w:rsidR="00E36866">
              <w:rPr>
                <w:rStyle w:val="Firstpagetablebold"/>
                <w:b w:val="0"/>
              </w:rPr>
              <w:t>1</w:t>
            </w:r>
            <w:r>
              <w:rPr>
                <w:rStyle w:val="Firstpagetablebold"/>
                <w:b w:val="0"/>
              </w:rPr>
              <w:t>.Dec.2025</w:t>
            </w:r>
          </w:p>
        </w:tc>
      </w:tr>
      <w:tr w:rsidR="00CE544A" w:rsidRPr="003E4C33" w14:paraId="4976D647" w14:textId="77777777" w:rsidTr="06E0A23A">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663" w:type="dxa"/>
          </w:tcPr>
          <w:p w14:paraId="4CADFAAE" w14:textId="65877252" w:rsidR="00F445B1" w:rsidRPr="00C55247" w:rsidRDefault="008A7E38" w:rsidP="00E92F0A">
            <w:pPr>
              <w:rPr>
                <w:rStyle w:val="Firstpagetablebold"/>
                <w:rFonts w:cs="Arial"/>
                <w:b w:val="0"/>
                <w:color w:val="auto"/>
              </w:rPr>
            </w:pPr>
            <w:r>
              <w:rPr>
                <w:rStyle w:val="Firstpagetablebold"/>
                <w:rFonts w:cs="Arial"/>
                <w:b w:val="0"/>
                <w:color w:val="auto"/>
              </w:rPr>
              <w:t xml:space="preserve">Tom </w:t>
            </w:r>
            <w:r w:rsidR="023873DD" w:rsidRPr="618F331B">
              <w:rPr>
                <w:rStyle w:val="Firstpagetablebold"/>
                <w:rFonts w:cs="Arial"/>
                <w:b w:val="0"/>
                <w:color w:val="auto"/>
              </w:rPr>
              <w:t>Bridgman</w:t>
            </w:r>
            <w:r w:rsidR="00A320ED">
              <w:rPr>
                <w:rStyle w:val="Firstpagetablebold"/>
                <w:rFonts w:cs="Arial"/>
                <w:b w:val="0"/>
                <w:color w:val="auto"/>
              </w:rPr>
              <w:t>, Deputy Chief Executive - Place</w:t>
            </w:r>
          </w:p>
        </w:tc>
      </w:tr>
      <w:tr w:rsidR="00CE544A" w:rsidRPr="003E4C33" w14:paraId="1CE13DCA" w14:textId="77777777" w:rsidTr="06E0A23A">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663" w:type="dxa"/>
          </w:tcPr>
          <w:p w14:paraId="04146131" w14:textId="74A6DD34" w:rsidR="00F445B1" w:rsidRPr="00C55247" w:rsidRDefault="00E92F0A" w:rsidP="6705CB2F">
            <w:pPr>
              <w:rPr>
                <w:rStyle w:val="Firstpagetablebold"/>
                <w:rFonts w:cs="Arial"/>
                <w:b w:val="0"/>
                <w:color w:val="auto"/>
              </w:rPr>
            </w:pPr>
            <w:r w:rsidRPr="399A5E4F">
              <w:rPr>
                <w:rStyle w:val="Firstpagetablebold"/>
                <w:rFonts w:cs="Arial"/>
                <w:b w:val="0"/>
                <w:color w:val="auto"/>
              </w:rPr>
              <w:t xml:space="preserve">To take a decision to acquire </w:t>
            </w:r>
            <w:r w:rsidR="00AB18E9" w:rsidRPr="399A5E4F">
              <w:rPr>
                <w:rStyle w:val="Firstpagetablebold"/>
                <w:rFonts w:cs="Arial"/>
                <w:b w:val="0"/>
                <w:color w:val="auto"/>
              </w:rPr>
              <w:t>1</w:t>
            </w:r>
            <w:r w:rsidR="00F27717">
              <w:rPr>
                <w:rStyle w:val="Firstpagetablebold"/>
                <w:rFonts w:cs="Arial"/>
                <w:b w:val="0"/>
                <w:color w:val="auto"/>
              </w:rPr>
              <w:t>9</w:t>
            </w:r>
            <w:r w:rsidR="00AB18E9" w:rsidRPr="399A5E4F">
              <w:rPr>
                <w:rStyle w:val="Firstpagetablebold"/>
                <w:rFonts w:cs="Arial"/>
                <w:b w:val="0"/>
                <w:color w:val="auto"/>
              </w:rPr>
              <w:t xml:space="preserve"> </w:t>
            </w:r>
            <w:r w:rsidRPr="399A5E4F">
              <w:rPr>
                <w:rStyle w:val="Firstpagetablebold"/>
                <w:rFonts w:cs="Arial"/>
                <w:b w:val="0"/>
                <w:color w:val="auto"/>
              </w:rPr>
              <w:t xml:space="preserve">properties at Barton Park from the developer </w:t>
            </w:r>
          </w:p>
        </w:tc>
      </w:tr>
    </w:tbl>
    <w:p w14:paraId="3963A3FA" w14:textId="77777777" w:rsidR="00437B41" w:rsidRDefault="00437B41"/>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6663"/>
      </w:tblGrid>
      <w:tr w:rsidR="00125DCA" w:rsidRPr="000F146D" w14:paraId="6E2AFDD9" w14:textId="77777777" w:rsidTr="0071465D">
        <w:tc>
          <w:tcPr>
            <w:tcW w:w="9101" w:type="dxa"/>
            <w:gridSpan w:val="2"/>
            <w:tcBorders>
              <w:top w:val="single" w:sz="8" w:space="0" w:color="auto"/>
              <w:left w:val="single" w:sz="8" w:space="0" w:color="auto"/>
              <w:bottom w:val="single" w:sz="8" w:space="0" w:color="auto"/>
              <w:right w:val="single" w:sz="8" w:space="0" w:color="auto"/>
            </w:tcBorders>
          </w:tcPr>
          <w:p w14:paraId="079EB24E" w14:textId="5B9AAB94" w:rsidR="00125DCA" w:rsidRPr="000F146D" w:rsidRDefault="000F146D" w:rsidP="06E0A23A">
            <w:pPr>
              <w:jc w:val="center"/>
              <w:rPr>
                <w:rFonts w:cs="Arial"/>
                <w:b/>
                <w:bCs/>
                <w:color w:val="auto"/>
              </w:rPr>
            </w:pPr>
            <w:r w:rsidRPr="000F146D">
              <w:rPr>
                <w:rFonts w:cs="Arial"/>
                <w:b/>
                <w:bCs/>
                <w:color w:val="auto"/>
              </w:rPr>
              <w:t>Summary</w:t>
            </w:r>
          </w:p>
        </w:tc>
      </w:tr>
      <w:tr w:rsidR="00125DCA" w:rsidRPr="003E4C33" w14:paraId="58AA47A3" w14:textId="77777777" w:rsidTr="00874A03">
        <w:tc>
          <w:tcPr>
            <w:tcW w:w="2438" w:type="dxa"/>
            <w:tcBorders>
              <w:top w:val="single" w:sz="8" w:space="0" w:color="auto"/>
              <w:left w:val="single" w:sz="8" w:space="0" w:color="auto"/>
              <w:bottom w:val="nil"/>
              <w:right w:val="nil"/>
            </w:tcBorders>
          </w:tcPr>
          <w:p w14:paraId="5445E780" w14:textId="66FAEA0E" w:rsidR="00125DCA" w:rsidRPr="003E4C33" w:rsidRDefault="00125DCA" w:rsidP="00125DCA">
            <w:pPr>
              <w:rPr>
                <w:rStyle w:val="Firstpagetablebold"/>
                <w:rFonts w:cs="Arial"/>
              </w:rPr>
            </w:pPr>
            <w:r>
              <w:rPr>
                <w:rStyle w:val="Firstpagetablebold"/>
                <w:rFonts w:cs="Arial"/>
              </w:rPr>
              <w:t>Decision being taken:</w:t>
            </w:r>
          </w:p>
        </w:tc>
        <w:tc>
          <w:tcPr>
            <w:tcW w:w="6663" w:type="dxa"/>
            <w:tcBorders>
              <w:top w:val="single" w:sz="8" w:space="0" w:color="auto"/>
              <w:left w:val="nil"/>
              <w:bottom w:val="nil"/>
              <w:right w:val="single" w:sz="8" w:space="0" w:color="auto"/>
            </w:tcBorders>
          </w:tcPr>
          <w:p w14:paraId="69D7D480" w14:textId="43CF4AC9" w:rsidR="00125DCA" w:rsidRPr="399A5E4F" w:rsidRDefault="00125DCA" w:rsidP="00125DCA">
            <w:pPr>
              <w:rPr>
                <w:rStyle w:val="Firstpagetablebold"/>
                <w:rFonts w:cs="Arial"/>
                <w:b w:val="0"/>
                <w:color w:val="auto"/>
              </w:rPr>
            </w:pPr>
            <w:r w:rsidRPr="399A5E4F">
              <w:rPr>
                <w:rFonts w:cs="Arial"/>
                <w:color w:val="auto"/>
              </w:rPr>
              <w:t xml:space="preserve">To confirm the acquisition of </w:t>
            </w:r>
            <w:r w:rsidRPr="5EB9F882">
              <w:rPr>
                <w:rFonts w:cs="Arial"/>
                <w:color w:val="auto"/>
              </w:rPr>
              <w:t>19</w:t>
            </w:r>
            <w:r>
              <w:t xml:space="preserve"> units</w:t>
            </w:r>
            <w:r w:rsidRPr="399A5E4F">
              <w:rPr>
                <w:rFonts w:cs="Arial"/>
                <w:color w:val="auto"/>
              </w:rPr>
              <w:t xml:space="preserve"> of council housing into the HRA and to </w:t>
            </w:r>
            <w:proofErr w:type="gramStart"/>
            <w:r w:rsidRPr="399A5E4F">
              <w:rPr>
                <w:rFonts w:cs="Arial"/>
                <w:color w:val="auto"/>
              </w:rPr>
              <w:t>enter i</w:t>
            </w:r>
            <w:r>
              <w:t>nto</w:t>
            </w:r>
            <w:proofErr w:type="gramEnd"/>
            <w:r>
              <w:t xml:space="preserve"> </w:t>
            </w:r>
            <w:r w:rsidRPr="399A5E4F">
              <w:rPr>
                <w:rFonts w:cs="Arial"/>
                <w:color w:val="auto"/>
              </w:rPr>
              <w:t>the relevant contract and transfer documentation.</w:t>
            </w:r>
            <w:r>
              <w:rPr>
                <w:rFonts w:cs="Arial"/>
                <w:color w:val="auto"/>
              </w:rPr>
              <w:t xml:space="preserve"> </w:t>
            </w:r>
            <w:r w:rsidRPr="399A5E4F">
              <w:rPr>
                <w:rFonts w:cs="Arial"/>
                <w:color w:val="auto"/>
              </w:rPr>
              <w:t>  </w:t>
            </w:r>
          </w:p>
        </w:tc>
      </w:tr>
      <w:tr w:rsidR="00125DCA" w:rsidRPr="003E4C33" w14:paraId="08A51B90" w14:textId="77777777" w:rsidTr="00874A03">
        <w:tc>
          <w:tcPr>
            <w:tcW w:w="2438" w:type="dxa"/>
            <w:tcBorders>
              <w:top w:val="nil"/>
              <w:left w:val="single" w:sz="8" w:space="0" w:color="auto"/>
              <w:bottom w:val="nil"/>
              <w:right w:val="nil"/>
            </w:tcBorders>
          </w:tcPr>
          <w:p w14:paraId="38FE47BD" w14:textId="4AD5339E" w:rsidR="00125DCA" w:rsidRPr="003E4C33" w:rsidRDefault="00125DCA" w:rsidP="00125DCA">
            <w:pPr>
              <w:rPr>
                <w:rStyle w:val="Firstpagetablebold"/>
                <w:rFonts w:cs="Arial"/>
              </w:rPr>
            </w:pPr>
            <w:r>
              <w:rPr>
                <w:rStyle w:val="Firstpagetablebold"/>
                <w:rFonts w:cs="Arial"/>
              </w:rPr>
              <w:t>Key Decision</w:t>
            </w:r>
          </w:p>
        </w:tc>
        <w:tc>
          <w:tcPr>
            <w:tcW w:w="6663" w:type="dxa"/>
            <w:tcBorders>
              <w:top w:val="nil"/>
              <w:left w:val="nil"/>
              <w:bottom w:val="nil"/>
              <w:right w:val="single" w:sz="8" w:space="0" w:color="auto"/>
            </w:tcBorders>
          </w:tcPr>
          <w:p w14:paraId="51786C78" w14:textId="68B76DB5" w:rsidR="00125DCA" w:rsidRPr="399A5E4F" w:rsidRDefault="000C0C53" w:rsidP="5B6DCC17">
            <w:pPr>
              <w:rPr>
                <w:rFonts w:eastAsia="Arial" w:cs="Arial"/>
              </w:rPr>
            </w:pPr>
            <w:r w:rsidRPr="5B6DCC17">
              <w:rPr>
                <w:rStyle w:val="Firstpagetablebold"/>
                <w:rFonts w:cs="Arial"/>
                <w:b w:val="0"/>
                <w:color w:val="auto"/>
              </w:rPr>
              <w:t>Yes</w:t>
            </w:r>
            <w:r>
              <w:br/>
            </w:r>
            <w:hyperlink r:id="rId11">
              <w:r w:rsidR="652EF2BB" w:rsidRPr="5B6DCC17">
                <w:rPr>
                  <w:rStyle w:val="Hyperlink"/>
                  <w:rFonts w:eastAsia="Arial" w:cs="Arial"/>
                </w:rPr>
                <w:t>https://mycouncil.oxford.gov.uk/mgIssueHistoryHome.aspx?IId=39752&amp;PlanId=525&amp;RPID=51424443</w:t>
              </w:r>
            </w:hyperlink>
          </w:p>
        </w:tc>
      </w:tr>
      <w:tr w:rsidR="00125DCA" w:rsidRPr="003E4C33" w14:paraId="1906F349" w14:textId="77777777" w:rsidTr="00874A03">
        <w:tc>
          <w:tcPr>
            <w:tcW w:w="2438" w:type="dxa"/>
            <w:tcBorders>
              <w:top w:val="nil"/>
              <w:left w:val="single" w:sz="8" w:space="0" w:color="auto"/>
              <w:bottom w:val="nil"/>
              <w:right w:val="nil"/>
            </w:tcBorders>
          </w:tcPr>
          <w:p w14:paraId="5B825817" w14:textId="269476A3" w:rsidR="00125DCA" w:rsidRPr="003E4C33" w:rsidRDefault="00125DCA" w:rsidP="00125DCA">
            <w:pPr>
              <w:rPr>
                <w:rStyle w:val="Firstpagetablebold"/>
                <w:rFonts w:cs="Arial"/>
              </w:rPr>
            </w:pPr>
            <w:r>
              <w:rPr>
                <w:rStyle w:val="Firstpagetablebold"/>
                <w:rFonts w:cs="Arial"/>
              </w:rPr>
              <w:t>Source of Delegation</w:t>
            </w:r>
          </w:p>
        </w:tc>
        <w:tc>
          <w:tcPr>
            <w:tcW w:w="6663" w:type="dxa"/>
            <w:tcBorders>
              <w:top w:val="nil"/>
              <w:left w:val="nil"/>
              <w:bottom w:val="nil"/>
              <w:right w:val="single" w:sz="8" w:space="0" w:color="auto"/>
            </w:tcBorders>
          </w:tcPr>
          <w:p w14:paraId="4AC72BC5" w14:textId="15FFAF24" w:rsidR="00125DCA" w:rsidRDefault="3F766751" w:rsidP="2BDEE800">
            <w:bookmarkStart w:id="0" w:name="_Hlk216345221"/>
            <w:r>
              <w:rPr>
                <w:rFonts w:cs="Arial"/>
                <w:color w:val="auto"/>
              </w:rPr>
              <w:t>Cabinet on 16</w:t>
            </w:r>
            <w:r w:rsidRPr="2BDEE800">
              <w:rPr>
                <w:rFonts w:cs="Arial"/>
                <w:color w:val="auto"/>
                <w:vertAlign w:val="superscript"/>
              </w:rPr>
              <w:t>th</w:t>
            </w:r>
            <w:r w:rsidRPr="2BDEE800">
              <w:rPr>
                <w:rFonts w:cs="Arial"/>
                <w:color w:val="auto"/>
              </w:rPr>
              <w:t xml:space="preserve"> October 2024 delegated authority </w:t>
            </w:r>
            <w:r w:rsidR="53F6BB22" w:rsidRPr="2BDEE800">
              <w:rPr>
                <w:rFonts w:eastAsia="Arial" w:cs="Arial"/>
              </w:rPr>
              <w:t>to the Executive Director (Development), in consultation with the Executive Director (Communities and People); the Cabinet Member for Housing and Communities; the Cabinet Member for Finance and Asset Management; the Cabinet Member for Citizen Focused Services and Council Companies; the Head of Financial Services/Section 151 Officer and the Council’s Monitoring Officer, to:</w:t>
            </w:r>
          </w:p>
          <w:p w14:paraId="164E8C72" w14:textId="27CCD5F7" w:rsidR="00125DCA" w:rsidRPr="007D4511" w:rsidRDefault="53F6BB22" w:rsidP="2BDEE800">
            <w:pPr>
              <w:pStyle w:val="ListParagraph"/>
              <w:spacing w:after="0"/>
              <w:rPr>
                <w:rFonts w:eastAsia="Arial" w:cs="Arial"/>
                <w:color w:val="auto"/>
              </w:rPr>
            </w:pPr>
            <w:r w:rsidRPr="007D4511">
              <w:rPr>
                <w:rFonts w:eastAsia="Arial" w:cs="Arial"/>
                <w:color w:val="auto"/>
              </w:rPr>
              <w:t xml:space="preserve">agree to the purchase of the remaining 184 Social Rented properties and any associated land from Barton Park in accordance with the agreement with Barton Oxford LLP and Oxford City Council dated December </w:t>
            </w:r>
            <w:proofErr w:type="gramStart"/>
            <w:r w:rsidRPr="007D4511">
              <w:rPr>
                <w:rFonts w:eastAsia="Arial" w:cs="Arial"/>
                <w:color w:val="auto"/>
              </w:rPr>
              <w:t>2014;</w:t>
            </w:r>
            <w:proofErr w:type="gramEnd"/>
          </w:p>
          <w:p w14:paraId="60AD0B58" w14:textId="4C700EFF" w:rsidR="00125DCA" w:rsidRPr="007D4511" w:rsidRDefault="53F6BB22" w:rsidP="2BDEE800">
            <w:pPr>
              <w:pStyle w:val="ListParagraph"/>
              <w:spacing w:after="0"/>
              <w:rPr>
                <w:rFonts w:eastAsia="Arial" w:cs="Arial"/>
                <w:color w:val="auto"/>
              </w:rPr>
            </w:pPr>
            <w:r w:rsidRPr="007D4511">
              <w:rPr>
                <w:rFonts w:eastAsia="Arial" w:cs="Arial"/>
                <w:color w:val="auto"/>
              </w:rPr>
              <w:t>enter into all agreements necessary, where delegation does not already exist, to facilitate the transfer of the properties [at a.] including but not limited to, any documentation necessary to transfer the benefit of any continuing warranties and guarantees relating to the properties to the Council</w:t>
            </w:r>
          </w:p>
          <w:p w14:paraId="6265031F" w14:textId="6CCBB592" w:rsidR="2BDEE800" w:rsidRDefault="2BDEE800" w:rsidP="2BDEE800">
            <w:pPr>
              <w:rPr>
                <w:rFonts w:cs="Arial"/>
                <w:color w:val="auto"/>
              </w:rPr>
            </w:pPr>
          </w:p>
          <w:p w14:paraId="3A748D50" w14:textId="6F3B830F" w:rsidR="00C15955" w:rsidRPr="399A5E4F" w:rsidRDefault="00BD433A" w:rsidP="00125DCA">
            <w:pPr>
              <w:rPr>
                <w:rStyle w:val="Firstpagetablebold"/>
                <w:rFonts w:cs="Arial"/>
                <w:b w:val="0"/>
                <w:color w:val="auto"/>
              </w:rPr>
            </w:pPr>
            <w:r>
              <w:rPr>
                <w:rFonts w:cs="Arial"/>
                <w:color w:val="auto"/>
              </w:rPr>
              <w:t xml:space="preserve">Following a </w:t>
            </w:r>
            <w:r w:rsidR="00C15955" w:rsidRPr="00C15955">
              <w:rPr>
                <w:rFonts w:cs="Arial"/>
                <w:color w:val="auto"/>
              </w:rPr>
              <w:t xml:space="preserve">restructure </w:t>
            </w:r>
            <w:r>
              <w:rPr>
                <w:rFonts w:cs="Arial"/>
                <w:color w:val="auto"/>
              </w:rPr>
              <w:t xml:space="preserve">of the Executive </w:t>
            </w:r>
            <w:r w:rsidR="00C15955" w:rsidRPr="00C15955">
              <w:rPr>
                <w:rFonts w:cs="Arial"/>
                <w:color w:val="auto"/>
              </w:rPr>
              <w:t>with effect from 1 February 2025, the Executive Director (Development)’s responsibilities for this decision have moved to the Deputy Chief Executive – Place and the Executive Director’s (Communities and People) responsibilities have moved to the Deputy Chief Executive – City and Citizen Services</w:t>
            </w:r>
            <w:bookmarkEnd w:id="0"/>
          </w:p>
        </w:tc>
      </w:tr>
      <w:tr w:rsidR="00125DCA" w:rsidRPr="003E4C33" w14:paraId="418664E6" w14:textId="77777777" w:rsidTr="007D4511">
        <w:tc>
          <w:tcPr>
            <w:tcW w:w="2438" w:type="dxa"/>
            <w:tcBorders>
              <w:top w:val="nil"/>
              <w:left w:val="single" w:sz="8" w:space="0" w:color="auto"/>
              <w:bottom w:val="nil"/>
              <w:right w:val="nil"/>
            </w:tcBorders>
          </w:tcPr>
          <w:p w14:paraId="2741C8C0" w14:textId="38695F2B" w:rsidR="00125DCA" w:rsidRPr="003E4C33" w:rsidRDefault="00125DCA" w:rsidP="00125DCA">
            <w:pPr>
              <w:rPr>
                <w:rStyle w:val="Firstpagetablebold"/>
                <w:rFonts w:cs="Arial"/>
              </w:rPr>
            </w:pPr>
            <w:r>
              <w:rPr>
                <w:rStyle w:val="Firstpagetablebold"/>
                <w:rFonts w:cs="Arial"/>
              </w:rPr>
              <w:t>Cabinet Member</w:t>
            </w:r>
          </w:p>
        </w:tc>
        <w:tc>
          <w:tcPr>
            <w:tcW w:w="6663" w:type="dxa"/>
            <w:tcBorders>
              <w:top w:val="nil"/>
              <w:left w:val="nil"/>
              <w:bottom w:val="nil"/>
              <w:right w:val="single" w:sz="8" w:space="0" w:color="auto"/>
            </w:tcBorders>
          </w:tcPr>
          <w:p w14:paraId="59644B6D" w14:textId="77777777" w:rsidR="00125DCA" w:rsidRDefault="00125DCA" w:rsidP="00125DCA">
            <w:pPr>
              <w:rPr>
                <w:color w:val="auto"/>
              </w:rPr>
            </w:pPr>
            <w:r w:rsidRPr="005B5D87">
              <w:rPr>
                <w:color w:val="auto"/>
              </w:rPr>
              <w:t>Councillor Linda Smith</w:t>
            </w:r>
            <w:r>
              <w:rPr>
                <w:color w:val="auto"/>
              </w:rPr>
              <w:t xml:space="preserve"> -</w:t>
            </w:r>
            <w:r w:rsidRPr="005B5D87">
              <w:rPr>
                <w:color w:val="auto"/>
              </w:rPr>
              <w:t xml:space="preserve"> Cabinet Member for Housing and Communities</w:t>
            </w:r>
          </w:p>
          <w:p w14:paraId="77AE83F1" w14:textId="77777777" w:rsidR="00125DCA" w:rsidRDefault="00125DCA" w:rsidP="00125DCA">
            <w:pPr>
              <w:rPr>
                <w:color w:val="auto"/>
              </w:rPr>
            </w:pPr>
            <w:r w:rsidRPr="00581DFE">
              <w:t xml:space="preserve">Councillor Ed Turner </w:t>
            </w:r>
            <w:r>
              <w:t xml:space="preserve">- </w:t>
            </w:r>
            <w:r w:rsidRPr="00BA4BE5">
              <w:t>Cabinet Member for Finance and Asset Management</w:t>
            </w:r>
            <w:r w:rsidRPr="005B5D87">
              <w:rPr>
                <w:color w:val="auto"/>
              </w:rPr>
              <w:t xml:space="preserve">  </w:t>
            </w:r>
          </w:p>
          <w:p w14:paraId="58BA88CF" w14:textId="7D08A23E" w:rsidR="007D4511" w:rsidRPr="399A5E4F" w:rsidRDefault="00125DCA" w:rsidP="00125DCA">
            <w:pPr>
              <w:rPr>
                <w:rStyle w:val="Firstpagetablebold"/>
                <w:rFonts w:cs="Arial"/>
                <w:b w:val="0"/>
                <w:color w:val="auto"/>
              </w:rPr>
            </w:pPr>
            <w:r w:rsidRPr="00E40DA9">
              <w:rPr>
                <w:rFonts w:cs="Arial"/>
                <w:color w:val="auto"/>
              </w:rPr>
              <w:t xml:space="preserve">Councillor Nigel Chapman </w:t>
            </w:r>
            <w:r>
              <w:rPr>
                <w:rFonts w:cs="Arial"/>
                <w:color w:val="auto"/>
              </w:rPr>
              <w:t xml:space="preserve">- </w:t>
            </w:r>
            <w:r w:rsidRPr="00E40DA9">
              <w:rPr>
                <w:rFonts w:cs="Arial"/>
                <w:color w:val="auto"/>
              </w:rPr>
              <w:t>Cabinet Member for Citizen Focused Services and Council Companies</w:t>
            </w:r>
          </w:p>
        </w:tc>
      </w:tr>
      <w:tr w:rsidR="00125DCA" w:rsidRPr="003E4C33" w14:paraId="7F7FED2F" w14:textId="77777777" w:rsidTr="007D4511">
        <w:tc>
          <w:tcPr>
            <w:tcW w:w="2438" w:type="dxa"/>
            <w:tcBorders>
              <w:top w:val="nil"/>
              <w:left w:val="single" w:sz="8" w:space="0" w:color="auto"/>
              <w:bottom w:val="nil"/>
              <w:right w:val="nil"/>
            </w:tcBorders>
          </w:tcPr>
          <w:p w14:paraId="0FDB8DF2" w14:textId="5457D9EF" w:rsidR="00125DCA" w:rsidRPr="003E4C33" w:rsidRDefault="00125DCA" w:rsidP="00125DCA">
            <w:pPr>
              <w:rPr>
                <w:rStyle w:val="Firstpagetablebold"/>
                <w:rFonts w:cs="Arial"/>
              </w:rPr>
            </w:pPr>
            <w:r>
              <w:rPr>
                <w:rStyle w:val="Firstpagetablebold"/>
                <w:rFonts w:cs="Arial"/>
              </w:rPr>
              <w:lastRenderedPageBreak/>
              <w:t>Corporate Priority</w:t>
            </w:r>
          </w:p>
        </w:tc>
        <w:tc>
          <w:tcPr>
            <w:tcW w:w="6663" w:type="dxa"/>
            <w:tcBorders>
              <w:top w:val="nil"/>
              <w:left w:val="nil"/>
              <w:bottom w:val="nil"/>
              <w:right w:val="single" w:sz="8" w:space="0" w:color="auto"/>
            </w:tcBorders>
          </w:tcPr>
          <w:p w14:paraId="2E9D0B21" w14:textId="4F4521BA" w:rsidR="00125DCA" w:rsidRPr="399A5E4F" w:rsidRDefault="00125DCA" w:rsidP="00125DCA">
            <w:pPr>
              <w:rPr>
                <w:rStyle w:val="Firstpagetablebold"/>
                <w:rFonts w:cs="Arial"/>
                <w:b w:val="0"/>
                <w:color w:val="auto"/>
              </w:rPr>
            </w:pPr>
            <w:r w:rsidRPr="00DF61EE">
              <w:rPr>
                <w:color w:val="auto"/>
              </w:rPr>
              <w:t>More Affordable Housing and Meeting Housi</w:t>
            </w:r>
            <w:r>
              <w:rPr>
                <w:color w:val="auto"/>
              </w:rPr>
              <w:t>ng Needs</w:t>
            </w:r>
            <w:r w:rsidRPr="00C55247">
              <w:rPr>
                <w:color w:val="auto"/>
              </w:rPr>
              <w:t>.</w:t>
            </w:r>
          </w:p>
        </w:tc>
      </w:tr>
      <w:tr w:rsidR="00125DCA" w:rsidRPr="003E4C33" w14:paraId="64EBE64B" w14:textId="77777777" w:rsidTr="0071465D">
        <w:tc>
          <w:tcPr>
            <w:tcW w:w="2438" w:type="dxa"/>
            <w:tcBorders>
              <w:top w:val="nil"/>
              <w:left w:val="single" w:sz="8" w:space="0" w:color="auto"/>
              <w:bottom w:val="single" w:sz="8" w:space="0" w:color="auto"/>
              <w:right w:val="nil"/>
            </w:tcBorders>
          </w:tcPr>
          <w:p w14:paraId="22D54A2E" w14:textId="4ED052FA" w:rsidR="00125DCA" w:rsidRPr="003E4C33" w:rsidRDefault="00125DCA" w:rsidP="00125DCA">
            <w:pPr>
              <w:rPr>
                <w:rStyle w:val="Firstpagetablebold"/>
                <w:rFonts w:cs="Arial"/>
              </w:rPr>
            </w:pPr>
            <w:r>
              <w:rPr>
                <w:rStyle w:val="Firstpagetablebold"/>
                <w:rFonts w:cs="Arial"/>
              </w:rPr>
              <w:t>Policy Framework</w:t>
            </w:r>
          </w:p>
        </w:tc>
        <w:tc>
          <w:tcPr>
            <w:tcW w:w="6663" w:type="dxa"/>
            <w:tcBorders>
              <w:top w:val="nil"/>
              <w:left w:val="nil"/>
              <w:bottom w:val="single" w:sz="8" w:space="0" w:color="auto"/>
              <w:right w:val="single" w:sz="8" w:space="0" w:color="auto"/>
            </w:tcBorders>
          </w:tcPr>
          <w:p w14:paraId="47C8E1E3" w14:textId="2A2BCA7E" w:rsidR="00125DCA" w:rsidRPr="399A5E4F" w:rsidRDefault="00125DCA" w:rsidP="00125DCA">
            <w:pPr>
              <w:rPr>
                <w:rStyle w:val="Firstpagetablebold"/>
                <w:rFonts w:cs="Arial"/>
                <w:b w:val="0"/>
                <w:color w:val="auto"/>
              </w:rPr>
            </w:pPr>
            <w:r>
              <w:rPr>
                <w:color w:val="auto"/>
              </w:rPr>
              <w:t>Corporate Strategy 2024-2028</w:t>
            </w:r>
          </w:p>
        </w:tc>
      </w:tr>
    </w:tbl>
    <w:p w14:paraId="2B48483E" w14:textId="77777777" w:rsidR="003C20B3" w:rsidRDefault="003C20B3" w:rsidP="004A6D2F">
      <w:pPr>
        <w:rPr>
          <w:rFonts w:cs="Arial"/>
        </w:rPr>
      </w:pPr>
    </w:p>
    <w:tbl>
      <w:tblPr>
        <w:tblW w:w="9156"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26"/>
        <w:gridCol w:w="8730"/>
      </w:tblGrid>
      <w:tr w:rsidR="00340B77" w:rsidRPr="00975B07" w14:paraId="6AB9E16B" w14:textId="77777777" w:rsidTr="00AF4203">
        <w:trPr>
          <w:trHeight w:val="413"/>
        </w:trPr>
        <w:tc>
          <w:tcPr>
            <w:tcW w:w="9156" w:type="dxa"/>
            <w:gridSpan w:val="2"/>
            <w:tcBorders>
              <w:bottom w:val="single" w:sz="8" w:space="0" w:color="auto"/>
            </w:tcBorders>
          </w:tcPr>
          <w:p w14:paraId="39BB8A6A" w14:textId="662F6B5B" w:rsidR="00340B77" w:rsidRPr="00975B07" w:rsidRDefault="0071465D">
            <w:bookmarkStart w:id="1" w:name="_Hlk216345028"/>
            <w:r>
              <w:t>The</w:t>
            </w:r>
            <w:r w:rsidR="008A7E38">
              <w:t xml:space="preserve"> Dep</w:t>
            </w:r>
            <w:r w:rsidR="58B2CBFE">
              <w:t>uty</w:t>
            </w:r>
            <w:r w:rsidR="008A7E38">
              <w:t xml:space="preserve"> Ch</w:t>
            </w:r>
            <w:r w:rsidR="75D15CF3">
              <w:t>ief</w:t>
            </w:r>
            <w:r w:rsidR="008A7E38">
              <w:t xml:space="preserve"> </w:t>
            </w:r>
            <w:r w:rsidR="45010F14">
              <w:t>Executive – Place,</w:t>
            </w:r>
            <w:r w:rsidR="008A7E38">
              <w:t xml:space="preserve"> </w:t>
            </w:r>
            <w:r w:rsidR="00635E3E">
              <w:t xml:space="preserve">decides as follows: </w:t>
            </w:r>
          </w:p>
        </w:tc>
      </w:tr>
      <w:tr w:rsidR="00340B77" w:rsidRPr="00975B07" w14:paraId="1817F3CE" w14:textId="77777777" w:rsidTr="00AF4203">
        <w:trPr>
          <w:trHeight w:val="283"/>
        </w:trPr>
        <w:tc>
          <w:tcPr>
            <w:tcW w:w="426" w:type="dxa"/>
            <w:tcBorders>
              <w:top w:val="single" w:sz="8" w:space="0" w:color="auto"/>
              <w:left w:val="single" w:sz="8" w:space="0" w:color="auto"/>
              <w:bottom w:val="nil"/>
              <w:right w:val="nil"/>
            </w:tcBorders>
          </w:tcPr>
          <w:p w14:paraId="7809A8B3" w14:textId="77777777" w:rsidR="00340B77" w:rsidRPr="00975B07" w:rsidRDefault="00340B77">
            <w:r w:rsidRPr="00975B07">
              <w:t>1.</w:t>
            </w:r>
          </w:p>
        </w:tc>
        <w:tc>
          <w:tcPr>
            <w:tcW w:w="8730" w:type="dxa"/>
            <w:tcBorders>
              <w:top w:val="single" w:sz="8" w:space="0" w:color="auto"/>
              <w:left w:val="nil"/>
              <w:bottom w:val="nil"/>
              <w:right w:val="single" w:sz="8" w:space="0" w:color="auto"/>
            </w:tcBorders>
          </w:tcPr>
          <w:p w14:paraId="21BDE17D" w14:textId="046456BE" w:rsidR="00581DFE" w:rsidRDefault="29319CC2" w:rsidP="00581DFE">
            <w:pPr>
              <w:shd w:val="clear" w:color="auto" w:fill="FFFFFF" w:themeFill="background1"/>
              <w:spacing w:after="0"/>
              <w:contextualSpacing/>
              <w:textAlignment w:val="baseline"/>
              <w:rPr>
                <w:rFonts w:ascii="Helvetica" w:hAnsi="Helvetica" w:cs="Helvetica"/>
              </w:rPr>
            </w:pPr>
            <w:r w:rsidRPr="68E107DB">
              <w:rPr>
                <w:b/>
                <w:bCs/>
              </w:rPr>
              <w:t>To a</w:t>
            </w:r>
            <w:r w:rsidR="00A74D37" w:rsidRPr="68E107DB">
              <w:rPr>
                <w:b/>
                <w:bCs/>
              </w:rPr>
              <w:t xml:space="preserve">pprove, </w:t>
            </w:r>
            <w:r w:rsidR="00A74D37">
              <w:t xml:space="preserve">that the Council </w:t>
            </w:r>
            <w:r w:rsidR="00A74D37" w:rsidRPr="68E107DB">
              <w:rPr>
                <w:rFonts w:ascii="Helvetica" w:hAnsi="Helvetica" w:cs="Helvetica"/>
              </w:rPr>
              <w:t xml:space="preserve">acquires the first three tranches, a total of 19 units at Barton Park directly from the relevant phase developers for Phases 2 and 4 (“the developer”) at Barton Park as required under the overarching development agreement with Barton (Oxford) </w:t>
            </w:r>
            <w:proofErr w:type="gramStart"/>
            <w:r w:rsidR="00A74D37" w:rsidRPr="68E107DB">
              <w:rPr>
                <w:rFonts w:ascii="Helvetica" w:hAnsi="Helvetica" w:cs="Helvetica"/>
              </w:rPr>
              <w:t>LLP</w:t>
            </w:r>
            <w:r w:rsidR="00581DFE">
              <w:rPr>
                <w:rFonts w:ascii="Helvetica" w:hAnsi="Helvetica" w:cs="Helvetica"/>
              </w:rPr>
              <w:t>;</w:t>
            </w:r>
            <w:proofErr w:type="gramEnd"/>
          </w:p>
          <w:p w14:paraId="0562B057" w14:textId="7FF62A33" w:rsidR="00340B77" w:rsidRPr="00581DFE" w:rsidRDefault="303D9F2B" w:rsidP="00581DFE">
            <w:pPr>
              <w:pStyle w:val="ListParagraph"/>
              <w:numPr>
                <w:ilvl w:val="0"/>
                <w:numId w:val="12"/>
              </w:numPr>
              <w:shd w:val="clear" w:color="auto" w:fill="FFFFFF" w:themeFill="background1"/>
              <w:spacing w:after="0"/>
              <w:contextualSpacing/>
              <w:textAlignment w:val="baseline"/>
              <w:rPr>
                <w:rFonts w:ascii="Helvetica" w:hAnsi="Helvetica" w:cs="Helvetica"/>
              </w:rPr>
            </w:pPr>
            <w:r w:rsidRPr="00581DFE">
              <w:rPr>
                <w:rFonts w:eastAsia="Arial" w:cs="Arial"/>
                <w:color w:val="000000" w:themeColor="text1"/>
              </w:rPr>
              <w:t xml:space="preserve">as detailed in paragraph </w:t>
            </w:r>
            <w:r w:rsidR="33961124" w:rsidRPr="00581DFE">
              <w:rPr>
                <w:rFonts w:eastAsia="Arial" w:cs="Arial"/>
                <w:color w:val="000000" w:themeColor="text1"/>
              </w:rPr>
              <w:t>7</w:t>
            </w:r>
            <w:r w:rsidRPr="00581DFE">
              <w:rPr>
                <w:rFonts w:eastAsia="Arial" w:cs="Arial"/>
                <w:color w:val="000000" w:themeColor="text1"/>
              </w:rPr>
              <w:t xml:space="preserve"> below and subject to the conditions set out in this </w:t>
            </w:r>
            <w:proofErr w:type="gramStart"/>
            <w:r w:rsidRPr="00581DFE">
              <w:rPr>
                <w:rFonts w:eastAsia="Arial" w:cs="Arial"/>
                <w:color w:val="000000" w:themeColor="text1"/>
              </w:rPr>
              <w:t>report</w:t>
            </w:r>
            <w:r w:rsidR="49107E32" w:rsidRPr="00581DFE">
              <w:rPr>
                <w:rFonts w:eastAsia="Arial" w:cs="Arial"/>
                <w:color w:val="000000" w:themeColor="text1"/>
              </w:rPr>
              <w:t>;</w:t>
            </w:r>
            <w:proofErr w:type="gramEnd"/>
          </w:p>
          <w:p w14:paraId="2599CB46" w14:textId="52084F01" w:rsidR="00340B77" w:rsidRPr="001356F1" w:rsidRDefault="5BBB0ADA" w:rsidP="00581DFE">
            <w:pPr>
              <w:pStyle w:val="ListParagraph"/>
              <w:numPr>
                <w:ilvl w:val="0"/>
                <w:numId w:val="12"/>
              </w:numPr>
            </w:pPr>
            <w:r w:rsidRPr="00581DFE">
              <w:rPr>
                <w:rFonts w:eastAsia="Arial" w:cs="Arial"/>
                <w:color w:val="000000" w:themeColor="text1"/>
              </w:rPr>
              <w:t>The 19</w:t>
            </w:r>
            <w:r w:rsidR="00A74D37" w:rsidRPr="00581DFE">
              <w:rPr>
                <w:rFonts w:ascii="Helvetica" w:hAnsi="Helvetica" w:cs="Helvetica"/>
              </w:rPr>
              <w:t xml:space="preserve"> properties to be purchased by the Housing Revenue Account (HRA) </w:t>
            </w:r>
            <w:r w:rsidR="4ACA4E23" w:rsidRPr="00581DFE">
              <w:rPr>
                <w:rFonts w:ascii="Helvetica" w:hAnsi="Helvetica" w:cs="Helvetica"/>
              </w:rPr>
              <w:t xml:space="preserve">for the amount detailed in </w:t>
            </w:r>
            <w:r w:rsidR="0679D8DF" w:rsidRPr="00581DFE">
              <w:rPr>
                <w:rFonts w:ascii="Helvetica" w:hAnsi="Helvetica" w:cs="Helvetica"/>
              </w:rPr>
              <w:t>A</w:t>
            </w:r>
            <w:r w:rsidR="4ACA4E23" w:rsidRPr="00581DFE">
              <w:rPr>
                <w:rFonts w:ascii="Helvetica" w:hAnsi="Helvetica" w:cs="Helvetica"/>
              </w:rPr>
              <w:t>ppendix 1, which is exempt from pu</w:t>
            </w:r>
            <w:r w:rsidR="27C3EA7B" w:rsidRPr="00581DFE">
              <w:rPr>
                <w:rFonts w:ascii="Helvetica" w:hAnsi="Helvetica" w:cs="Helvetica"/>
              </w:rPr>
              <w:t>blication.</w:t>
            </w:r>
            <w:r w:rsidR="00A74D37" w:rsidRPr="00581DFE">
              <w:rPr>
                <w:rFonts w:ascii="Helvetica" w:hAnsi="Helvetica" w:cs="Helvetica"/>
              </w:rPr>
              <w:t> </w:t>
            </w:r>
          </w:p>
        </w:tc>
      </w:tr>
      <w:tr w:rsidR="00340B77" w:rsidRPr="00975B07" w14:paraId="49CA75AD" w14:textId="77777777" w:rsidTr="00AF4203">
        <w:trPr>
          <w:trHeight w:val="50"/>
        </w:trPr>
        <w:tc>
          <w:tcPr>
            <w:tcW w:w="426" w:type="dxa"/>
            <w:tcBorders>
              <w:top w:val="nil"/>
              <w:left w:val="single" w:sz="8" w:space="0" w:color="auto"/>
              <w:bottom w:val="single" w:sz="8" w:space="0" w:color="auto"/>
              <w:right w:val="nil"/>
            </w:tcBorders>
          </w:tcPr>
          <w:p w14:paraId="69F0E23A" w14:textId="77777777" w:rsidR="00340B77" w:rsidRPr="00975B07" w:rsidRDefault="00340B77">
            <w:r w:rsidRPr="00975B07">
              <w:t>2.</w:t>
            </w:r>
          </w:p>
        </w:tc>
        <w:tc>
          <w:tcPr>
            <w:tcW w:w="8730" w:type="dxa"/>
            <w:tcBorders>
              <w:top w:val="nil"/>
              <w:left w:val="nil"/>
              <w:bottom w:val="single" w:sz="8" w:space="0" w:color="auto"/>
              <w:right w:val="single" w:sz="8" w:space="0" w:color="auto"/>
            </w:tcBorders>
          </w:tcPr>
          <w:p w14:paraId="5923B458" w14:textId="6C16DED8" w:rsidR="00340B77" w:rsidRPr="001356F1" w:rsidRDefault="00A74D37">
            <w:r w:rsidRPr="7CB39464">
              <w:rPr>
                <w:b/>
                <w:bCs/>
              </w:rPr>
              <w:t>Approve and agree to</w:t>
            </w:r>
            <w:r>
              <w:t xml:space="preserve"> the entering </w:t>
            </w:r>
            <w:r w:rsidR="1C6B105B">
              <w:t xml:space="preserve">into </w:t>
            </w:r>
            <w:r>
              <w:t>of</w:t>
            </w:r>
            <w:r w:rsidR="1F6A1AD9">
              <w:t xml:space="preserve"> </w:t>
            </w:r>
            <w:r>
              <w:t xml:space="preserve">relevant contract and transfer documentation, ancillary deeds of covenant and agreement for the acquisition of 19 new affordable homes at Barton Park (Phase 2&amp;4) from the Developer directly into the Housing Revenue Account (HRA), as </w:t>
            </w:r>
            <w:r w:rsidR="00AB18E9">
              <w:t>detailed in the main body of the report.</w:t>
            </w:r>
            <w:r>
              <w:t>   </w:t>
            </w:r>
          </w:p>
        </w:tc>
      </w:tr>
      <w:bookmarkEnd w:id="1"/>
    </w:tbl>
    <w:p w14:paraId="161FC716" w14:textId="77777777" w:rsidR="00340B77" w:rsidRDefault="00340B77" w:rsidP="004A6D2F"/>
    <w:tbl>
      <w:tblPr>
        <w:tblW w:w="917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95"/>
        <w:gridCol w:w="5835"/>
        <w:gridCol w:w="1640"/>
      </w:tblGrid>
      <w:tr w:rsidR="004A39C3" w:rsidRPr="003E4C33" w14:paraId="1B1B668F" w14:textId="77777777" w:rsidTr="7CB39464">
        <w:trPr>
          <w:trHeight w:val="300"/>
        </w:trPr>
        <w:tc>
          <w:tcPr>
            <w:tcW w:w="1695" w:type="dxa"/>
            <w:tcBorders>
              <w:bottom w:val="single" w:sz="4" w:space="0" w:color="auto"/>
            </w:tcBorders>
          </w:tcPr>
          <w:p w14:paraId="074FB3AC" w14:textId="4B24A879" w:rsidR="004A39C3" w:rsidRPr="003E4C33" w:rsidRDefault="004A39C3">
            <w:pPr>
              <w:jc w:val="center"/>
              <w:rPr>
                <w:rStyle w:val="Firstpagetablebold"/>
                <w:rFonts w:cs="Arial"/>
              </w:rPr>
            </w:pPr>
            <w:r>
              <w:rPr>
                <w:rStyle w:val="Firstpagetablebold"/>
                <w:rFonts w:cs="Arial"/>
              </w:rPr>
              <w:t>A</w:t>
            </w:r>
            <w:r>
              <w:rPr>
                <w:rStyle w:val="Firstpagetablebold"/>
              </w:rPr>
              <w:t>ppendix No.</w:t>
            </w:r>
          </w:p>
        </w:tc>
        <w:tc>
          <w:tcPr>
            <w:tcW w:w="5835" w:type="dxa"/>
            <w:tcBorders>
              <w:bottom w:val="single" w:sz="4" w:space="0" w:color="auto"/>
            </w:tcBorders>
          </w:tcPr>
          <w:p w14:paraId="17AC6EFC" w14:textId="287FF34B" w:rsidR="004A39C3" w:rsidRPr="003E4C33" w:rsidRDefault="004A39C3">
            <w:pPr>
              <w:jc w:val="center"/>
              <w:rPr>
                <w:rStyle w:val="Firstpagetablebold"/>
                <w:rFonts w:cs="Arial"/>
              </w:rPr>
            </w:pPr>
            <w:r>
              <w:rPr>
                <w:rStyle w:val="Firstpagetablebold"/>
                <w:rFonts w:cs="Arial"/>
              </w:rPr>
              <w:t xml:space="preserve">Appendix Title </w:t>
            </w:r>
          </w:p>
        </w:tc>
        <w:tc>
          <w:tcPr>
            <w:tcW w:w="1640" w:type="dxa"/>
            <w:tcBorders>
              <w:bottom w:val="single" w:sz="4" w:space="0" w:color="auto"/>
            </w:tcBorders>
          </w:tcPr>
          <w:p w14:paraId="3F542BA6" w14:textId="3D79D3D9" w:rsidR="004A39C3" w:rsidRPr="003E4C33" w:rsidRDefault="004A39C3">
            <w:pPr>
              <w:jc w:val="center"/>
              <w:rPr>
                <w:rStyle w:val="Firstpagetablebold"/>
                <w:rFonts w:cs="Arial"/>
              </w:rPr>
            </w:pPr>
            <w:r>
              <w:rPr>
                <w:rStyle w:val="Firstpagetablebold"/>
                <w:rFonts w:cs="Arial"/>
              </w:rPr>
              <w:t>Exempt from Publication</w:t>
            </w:r>
          </w:p>
        </w:tc>
      </w:tr>
      <w:tr w:rsidR="006E1FA1" w:rsidRPr="003E4C33" w14:paraId="3B1E005F" w14:textId="77777777" w:rsidTr="7CB39464">
        <w:trPr>
          <w:trHeight w:val="300"/>
        </w:trPr>
        <w:tc>
          <w:tcPr>
            <w:tcW w:w="1695" w:type="dxa"/>
            <w:tcBorders>
              <w:top w:val="single" w:sz="4" w:space="0" w:color="auto"/>
              <w:left w:val="single" w:sz="8" w:space="0" w:color="000000" w:themeColor="text1"/>
              <w:bottom w:val="single" w:sz="4" w:space="0" w:color="auto"/>
              <w:right w:val="single" w:sz="4" w:space="0" w:color="auto"/>
            </w:tcBorders>
          </w:tcPr>
          <w:p w14:paraId="7F26D1AC" w14:textId="2F63E05B" w:rsidR="006E1FA1" w:rsidRPr="00C55247" w:rsidRDefault="00764BAF" w:rsidP="0BC4DFF5">
            <w:pPr>
              <w:rPr>
                <w:rStyle w:val="Firstpagetablebold"/>
                <w:rFonts w:cs="Arial"/>
                <w:color w:val="auto"/>
              </w:rPr>
            </w:pPr>
            <w:r w:rsidRPr="00C55247">
              <w:rPr>
                <w:rStyle w:val="Firstpagetablebold"/>
                <w:rFonts w:cs="Arial"/>
                <w:color w:val="auto"/>
              </w:rPr>
              <w:t xml:space="preserve">Appendix </w:t>
            </w:r>
            <w:r w:rsidR="00AB18E9">
              <w:rPr>
                <w:rStyle w:val="Firstpagetablebold"/>
                <w:rFonts w:cs="Arial"/>
                <w:color w:val="auto"/>
              </w:rPr>
              <w:t>1</w:t>
            </w:r>
          </w:p>
        </w:tc>
        <w:tc>
          <w:tcPr>
            <w:tcW w:w="5835" w:type="dxa"/>
            <w:tcBorders>
              <w:top w:val="single" w:sz="4" w:space="0" w:color="auto"/>
              <w:left w:val="single" w:sz="4" w:space="0" w:color="auto"/>
              <w:bottom w:val="single" w:sz="4" w:space="0" w:color="auto"/>
              <w:right w:val="single" w:sz="4" w:space="0" w:color="auto"/>
            </w:tcBorders>
          </w:tcPr>
          <w:p w14:paraId="327FA8BD" w14:textId="7532A120" w:rsidR="006E1FA1" w:rsidRPr="00C55247" w:rsidRDefault="00A320ED" w:rsidP="0BC4DFF5">
            <w:pPr>
              <w:rPr>
                <w:rFonts w:cs="Arial"/>
                <w:color w:val="auto"/>
              </w:rPr>
            </w:pPr>
            <w:r>
              <w:rPr>
                <w:rFonts w:cs="Arial"/>
                <w:color w:val="auto"/>
              </w:rPr>
              <w:t>Financ</w:t>
            </w:r>
            <w:r w:rsidR="00AB18E9">
              <w:rPr>
                <w:rFonts w:cs="Arial"/>
                <w:color w:val="auto"/>
              </w:rPr>
              <w:t>ial detail</w:t>
            </w:r>
            <w:r>
              <w:rPr>
                <w:rFonts w:cs="Arial"/>
                <w:color w:val="auto"/>
              </w:rPr>
              <w:t xml:space="preserve"> - confidential </w:t>
            </w:r>
          </w:p>
        </w:tc>
        <w:tc>
          <w:tcPr>
            <w:tcW w:w="1640" w:type="dxa"/>
            <w:tcBorders>
              <w:top w:val="single" w:sz="4" w:space="0" w:color="auto"/>
              <w:left w:val="single" w:sz="4" w:space="0" w:color="auto"/>
              <w:bottom w:val="single" w:sz="4" w:space="0" w:color="auto"/>
              <w:right w:val="single" w:sz="8" w:space="0" w:color="000000" w:themeColor="text1"/>
            </w:tcBorders>
          </w:tcPr>
          <w:p w14:paraId="41AD9445" w14:textId="2BD420F3" w:rsidR="006E1FA1" w:rsidRPr="00C55247" w:rsidRDefault="00A320ED" w:rsidP="004A39C3">
            <w:pPr>
              <w:rPr>
                <w:rFonts w:cs="Arial"/>
                <w:color w:val="auto"/>
              </w:rPr>
            </w:pPr>
            <w:r>
              <w:rPr>
                <w:rFonts w:cs="Arial"/>
                <w:color w:val="auto"/>
              </w:rPr>
              <w:t>Yes</w:t>
            </w:r>
          </w:p>
        </w:tc>
      </w:tr>
      <w:tr w:rsidR="00A74D37" w:rsidRPr="003E4C33" w14:paraId="50DDB4C5" w14:textId="77777777" w:rsidTr="7CB39464">
        <w:trPr>
          <w:trHeight w:val="300"/>
        </w:trPr>
        <w:tc>
          <w:tcPr>
            <w:tcW w:w="1695" w:type="dxa"/>
            <w:tcBorders>
              <w:top w:val="single" w:sz="4" w:space="0" w:color="auto"/>
              <w:left w:val="single" w:sz="8" w:space="0" w:color="000000" w:themeColor="text1"/>
              <w:bottom w:val="single" w:sz="4" w:space="0" w:color="auto"/>
              <w:right w:val="single" w:sz="4" w:space="0" w:color="auto"/>
            </w:tcBorders>
          </w:tcPr>
          <w:p w14:paraId="5FEE205F" w14:textId="731B3F92" w:rsidR="00A74D37" w:rsidRPr="00C55247" w:rsidRDefault="00A74D37" w:rsidP="0BC4DFF5">
            <w:pPr>
              <w:rPr>
                <w:rStyle w:val="Firstpagetablebold"/>
                <w:rFonts w:cs="Arial"/>
                <w:color w:val="auto"/>
              </w:rPr>
            </w:pPr>
            <w:r>
              <w:rPr>
                <w:rStyle w:val="Firstpagetablebold"/>
                <w:rFonts w:cs="Arial"/>
                <w:color w:val="auto"/>
              </w:rPr>
              <w:t>A</w:t>
            </w:r>
            <w:r>
              <w:rPr>
                <w:rStyle w:val="Firstpagetablebold"/>
                <w:rFonts w:cs="Arial"/>
              </w:rPr>
              <w:t xml:space="preserve">ppendix </w:t>
            </w:r>
            <w:r w:rsidR="00AB18E9">
              <w:rPr>
                <w:rStyle w:val="Firstpagetablebold"/>
                <w:rFonts w:cs="Arial"/>
              </w:rPr>
              <w:t>2</w:t>
            </w:r>
          </w:p>
        </w:tc>
        <w:tc>
          <w:tcPr>
            <w:tcW w:w="5835" w:type="dxa"/>
            <w:tcBorders>
              <w:top w:val="single" w:sz="4" w:space="0" w:color="auto"/>
              <w:left w:val="single" w:sz="4" w:space="0" w:color="auto"/>
              <w:bottom w:val="single" w:sz="4" w:space="0" w:color="auto"/>
              <w:right w:val="single" w:sz="4" w:space="0" w:color="auto"/>
            </w:tcBorders>
          </w:tcPr>
          <w:p w14:paraId="4D5CCE2D" w14:textId="574C008E" w:rsidR="00A74D37" w:rsidRDefault="00A74D37" w:rsidP="0BC4DFF5">
            <w:pPr>
              <w:rPr>
                <w:rFonts w:cs="Arial"/>
                <w:color w:val="auto"/>
              </w:rPr>
            </w:pPr>
            <w:r>
              <w:rPr>
                <w:rFonts w:cs="Arial"/>
                <w:color w:val="auto"/>
              </w:rPr>
              <w:t xml:space="preserve">Location maps </w:t>
            </w:r>
            <w:r w:rsidR="00581DFE">
              <w:rPr>
                <w:rFonts w:cs="Arial"/>
                <w:color w:val="auto"/>
              </w:rPr>
              <w:t xml:space="preserve">and address schedule </w:t>
            </w:r>
            <w:r>
              <w:rPr>
                <w:rFonts w:cs="Arial"/>
                <w:color w:val="auto"/>
              </w:rPr>
              <w:t>of the 19 properties</w:t>
            </w:r>
          </w:p>
        </w:tc>
        <w:tc>
          <w:tcPr>
            <w:tcW w:w="1640" w:type="dxa"/>
            <w:tcBorders>
              <w:top w:val="single" w:sz="4" w:space="0" w:color="auto"/>
              <w:left w:val="single" w:sz="4" w:space="0" w:color="auto"/>
              <w:bottom w:val="single" w:sz="4" w:space="0" w:color="auto"/>
              <w:right w:val="single" w:sz="8" w:space="0" w:color="000000" w:themeColor="text1"/>
            </w:tcBorders>
          </w:tcPr>
          <w:p w14:paraId="7C5E833D" w14:textId="09856E4C" w:rsidR="00A74D37" w:rsidRDefault="00A74D37" w:rsidP="004A39C3">
            <w:pPr>
              <w:rPr>
                <w:rFonts w:cs="Arial"/>
                <w:color w:val="auto"/>
              </w:rPr>
            </w:pPr>
            <w:r>
              <w:rPr>
                <w:rFonts w:cs="Arial"/>
                <w:color w:val="auto"/>
              </w:rPr>
              <w:t>No</w:t>
            </w:r>
          </w:p>
        </w:tc>
      </w:tr>
    </w:tbl>
    <w:p w14:paraId="15E29EEE" w14:textId="77777777" w:rsidR="00A74D37" w:rsidRDefault="00A74D37" w:rsidP="00A74D37">
      <w:pPr>
        <w:spacing w:after="0"/>
        <w:textAlignment w:val="baseline"/>
        <w:rPr>
          <w:rFonts w:cs="Arial"/>
          <w:b/>
          <w:bCs/>
          <w:color w:val="auto"/>
        </w:rPr>
      </w:pPr>
    </w:p>
    <w:p w14:paraId="31F6CA27" w14:textId="360C6DF2" w:rsidR="00A74D37" w:rsidRPr="00A74D37" w:rsidRDefault="00A74D37" w:rsidP="00A74D37">
      <w:pPr>
        <w:spacing w:after="0"/>
        <w:textAlignment w:val="baseline"/>
        <w:rPr>
          <w:rFonts w:ascii="Segoe UI" w:hAnsi="Segoe UI" w:cs="Segoe UI"/>
          <w:b/>
          <w:bCs/>
          <w:sz w:val="18"/>
          <w:szCs w:val="18"/>
        </w:rPr>
      </w:pPr>
      <w:r w:rsidRPr="00A74D37">
        <w:rPr>
          <w:rFonts w:cs="Arial"/>
          <w:b/>
          <w:bCs/>
          <w:color w:val="auto"/>
        </w:rPr>
        <w:t>Introduction and background  </w:t>
      </w:r>
    </w:p>
    <w:p w14:paraId="554C78CC" w14:textId="59C4D30F" w:rsidR="00A74D37" w:rsidRDefault="00A74D37" w:rsidP="03AEFD40">
      <w:pPr>
        <w:pStyle w:val="ListParagraph"/>
        <w:spacing w:after="0"/>
        <w:contextualSpacing/>
        <w:rPr>
          <w:rFonts w:cs="Arial"/>
          <w:color w:val="auto"/>
        </w:rPr>
      </w:pPr>
      <w:bookmarkStart w:id="2" w:name="_Hlk216345182"/>
      <w:r w:rsidRPr="03AEFD40">
        <w:rPr>
          <w:rFonts w:cs="Arial"/>
          <w:color w:val="auto"/>
        </w:rPr>
        <w:t>In 2013 the Council took a decision to enter a legal agreement with Barton (Oxford) LLP to purchase all the Social Rent homes developed on Barton Park (40% of the development up to 354 homes). This agreement was signed in December 2014.</w:t>
      </w:r>
    </w:p>
    <w:p w14:paraId="11B52046" w14:textId="0D492F20" w:rsidR="00A74D37" w:rsidRDefault="30BE8A9B" w:rsidP="03AEFD40">
      <w:pPr>
        <w:pStyle w:val="ListParagraph"/>
        <w:spacing w:after="0"/>
        <w:contextualSpacing/>
        <w:rPr>
          <w:rFonts w:cs="Arial"/>
        </w:rPr>
      </w:pPr>
      <w:r w:rsidRPr="03AEFD40">
        <w:rPr>
          <w:rFonts w:cs="Arial"/>
          <w:color w:val="auto"/>
        </w:rPr>
        <w:t>In</w:t>
      </w:r>
      <w:r w:rsidR="00A74D37" w:rsidRPr="03AEFD40">
        <w:rPr>
          <w:rFonts w:cs="Arial"/>
          <w:color w:val="auto"/>
        </w:rPr>
        <w:t> </w:t>
      </w:r>
      <w:r w:rsidR="39E36155" w:rsidRPr="03AEFD40">
        <w:rPr>
          <w:rFonts w:cs="Arial"/>
          <w:color w:val="auto"/>
        </w:rPr>
        <w:t xml:space="preserve">June </w:t>
      </w:r>
      <w:r w:rsidR="67C8F5F6" w:rsidRPr="03AEFD40">
        <w:rPr>
          <w:rFonts w:cs="Arial"/>
          <w:color w:val="auto"/>
        </w:rPr>
        <w:t xml:space="preserve">2021 the Council entered into a Condition Development </w:t>
      </w:r>
      <w:r w:rsidR="5C88F43E" w:rsidRPr="03AEFD40">
        <w:rPr>
          <w:rFonts w:cs="Arial"/>
          <w:color w:val="auto"/>
        </w:rPr>
        <w:t>A</w:t>
      </w:r>
      <w:r w:rsidR="67C8F5F6" w:rsidRPr="03AEFD40">
        <w:rPr>
          <w:rFonts w:cs="Arial"/>
          <w:color w:val="auto"/>
        </w:rPr>
        <w:t>greement with the</w:t>
      </w:r>
      <w:r w:rsidR="5B819F24" w:rsidRPr="03AEFD40">
        <w:rPr>
          <w:rFonts w:cs="Arial"/>
          <w:color w:val="auto"/>
        </w:rPr>
        <w:t xml:space="preserve"> phase </w:t>
      </w:r>
      <w:r w:rsidR="67C8F5F6" w:rsidRPr="03AEFD40">
        <w:rPr>
          <w:rFonts w:cs="Arial"/>
          <w:color w:val="auto"/>
        </w:rPr>
        <w:t>developer</w:t>
      </w:r>
      <w:r w:rsidR="615BAC82" w:rsidRPr="03AEFD40">
        <w:rPr>
          <w:rFonts w:cs="Arial"/>
          <w:color w:val="auto"/>
        </w:rPr>
        <w:t xml:space="preserve"> for Phases 2&amp;4</w:t>
      </w:r>
    </w:p>
    <w:p w14:paraId="03DBD417" w14:textId="62F8BC86" w:rsidR="00A74D37" w:rsidRDefault="00A74D37" w:rsidP="2BDEE800">
      <w:pPr>
        <w:pStyle w:val="ListParagraph"/>
        <w:spacing w:after="0"/>
        <w:contextualSpacing/>
        <w:rPr>
          <w:rFonts w:cs="Arial"/>
          <w:color w:val="auto"/>
        </w:rPr>
      </w:pPr>
      <w:r w:rsidRPr="2BDEE800">
        <w:rPr>
          <w:rFonts w:cs="Arial"/>
          <w:color w:val="auto"/>
        </w:rPr>
        <w:t xml:space="preserve">A report was considered by the Cabinet on 16 October 2024 </w:t>
      </w:r>
      <w:r w:rsidR="277763EC" w:rsidRPr="2BDEE800">
        <w:rPr>
          <w:rFonts w:cs="Arial"/>
          <w:color w:val="auto"/>
        </w:rPr>
        <w:t>a</w:t>
      </w:r>
      <w:r w:rsidRPr="2BDEE800">
        <w:rPr>
          <w:rFonts w:cs="Arial"/>
          <w:color w:val="auto"/>
        </w:rPr>
        <w:t>nd approval given to proceed to purchase 174 properties from the phase developer for Phases 2&amp;4 into the HRA.</w:t>
      </w:r>
      <w:r w:rsidR="00581DFE" w:rsidRPr="2BDEE800">
        <w:rPr>
          <w:rFonts w:cs="Arial"/>
          <w:color w:val="auto"/>
        </w:rPr>
        <w:t xml:space="preserve"> </w:t>
      </w:r>
    </w:p>
    <w:p w14:paraId="036E2C1A" w14:textId="329521B3" w:rsidR="00A74D37" w:rsidRDefault="5EDEFF1A" w:rsidP="2BDEE800">
      <w:pPr>
        <w:pStyle w:val="ListParagraph"/>
        <w:spacing w:after="0"/>
        <w:contextualSpacing/>
        <w:rPr>
          <w:rFonts w:cs="Arial"/>
        </w:rPr>
      </w:pPr>
      <w:r w:rsidRPr="2BDEE800">
        <w:rPr>
          <w:rFonts w:cs="Arial"/>
          <w:color w:val="auto"/>
        </w:rPr>
        <w:t>The purchase of each tranche of units was delegated to the Deputy Chief Executive for Place</w:t>
      </w:r>
      <w:r w:rsidR="1DF5CF4F" w:rsidRPr="2BDEE800">
        <w:rPr>
          <w:rFonts w:cs="Arial"/>
          <w:color w:val="auto"/>
        </w:rPr>
        <w:t>.</w:t>
      </w:r>
      <w:r w:rsidR="4BB90B8B" w:rsidRPr="2BDEE800">
        <w:rPr>
          <w:rFonts w:cs="Arial"/>
          <w:color w:val="auto"/>
        </w:rPr>
        <w:t xml:space="preserve"> </w:t>
      </w:r>
      <w:r w:rsidR="00A74D37" w:rsidRPr="2BDEE800">
        <w:rPr>
          <w:rFonts w:cs="Arial"/>
        </w:rPr>
        <w:t>The 1</w:t>
      </w:r>
      <w:r w:rsidR="008D13E8" w:rsidRPr="2BDEE800">
        <w:rPr>
          <w:rFonts w:cs="Arial"/>
        </w:rPr>
        <w:t>9</w:t>
      </w:r>
      <w:r w:rsidR="007F21D0" w:rsidRPr="2BDEE800">
        <w:rPr>
          <w:rFonts w:cs="Arial"/>
        </w:rPr>
        <w:t xml:space="preserve"> </w:t>
      </w:r>
      <w:r w:rsidR="00A74D37" w:rsidRPr="2BDEE800">
        <w:rPr>
          <w:rFonts w:cs="Arial"/>
        </w:rPr>
        <w:t xml:space="preserve">units </w:t>
      </w:r>
      <w:r w:rsidR="4C9C4728" w:rsidRPr="2BDEE800">
        <w:rPr>
          <w:rFonts w:cs="Arial"/>
        </w:rPr>
        <w:t xml:space="preserve">detailed in this report </w:t>
      </w:r>
      <w:r w:rsidR="00A74D37" w:rsidRPr="2BDEE800">
        <w:rPr>
          <w:rFonts w:cs="Arial"/>
        </w:rPr>
        <w:t xml:space="preserve">are the first three tranches of properties </w:t>
      </w:r>
      <w:r>
        <w:br/>
      </w:r>
    </w:p>
    <w:bookmarkEnd w:id="2"/>
    <w:p w14:paraId="7414780C" w14:textId="72EBBBFA" w:rsidR="6EDC9A29" w:rsidRDefault="6EDC9A29" w:rsidP="68E107DB">
      <w:pPr>
        <w:shd w:val="clear" w:color="auto" w:fill="FFFFFF" w:themeFill="background1"/>
        <w:spacing w:after="0"/>
        <w:contextualSpacing/>
        <w:rPr>
          <w:color w:val="000000" w:themeColor="text1"/>
        </w:rPr>
      </w:pPr>
      <w:r w:rsidRPr="68E107DB">
        <w:rPr>
          <w:b/>
          <w:bCs/>
          <w:color w:val="000000" w:themeColor="text1"/>
        </w:rPr>
        <w:t>Financial implications</w:t>
      </w:r>
    </w:p>
    <w:p w14:paraId="367A0D53" w14:textId="079304F5" w:rsidR="6EDC9A29" w:rsidRDefault="6EDC9A29" w:rsidP="03AEFD40">
      <w:pPr>
        <w:pStyle w:val="ListParagraph"/>
        <w:shd w:val="clear" w:color="auto" w:fill="FFFFFF" w:themeFill="background1"/>
        <w:spacing w:after="0"/>
        <w:contextualSpacing/>
        <w:rPr>
          <w:color w:val="000000" w:themeColor="text1"/>
        </w:rPr>
      </w:pPr>
      <w:r w:rsidRPr="03AEFD40">
        <w:rPr>
          <w:color w:val="000000" w:themeColor="text1"/>
        </w:rPr>
        <w:t>The price for the freehold acquisitions of the Properties is</w:t>
      </w:r>
      <w:r w:rsidR="5C3296E5" w:rsidRPr="03AEFD40">
        <w:rPr>
          <w:color w:val="000000" w:themeColor="text1"/>
        </w:rPr>
        <w:t xml:space="preserve"> calculated</w:t>
      </w:r>
      <w:r w:rsidRPr="03AEFD40">
        <w:rPr>
          <w:color w:val="000000" w:themeColor="text1"/>
        </w:rPr>
        <w:t xml:space="preserve"> in accordance with the pricing mechanism set down in the Condition</w:t>
      </w:r>
      <w:r w:rsidR="6D8AC3F0" w:rsidRPr="03AEFD40">
        <w:rPr>
          <w:color w:val="000000" w:themeColor="text1"/>
        </w:rPr>
        <w:t xml:space="preserve">al Development Agreement and </w:t>
      </w:r>
      <w:r w:rsidRPr="03AEFD40">
        <w:rPr>
          <w:color w:val="000000" w:themeColor="text1"/>
        </w:rPr>
        <w:t>equates to a price of £</w:t>
      </w:r>
      <w:r w:rsidR="15DA6FD2" w:rsidRPr="03AEFD40">
        <w:rPr>
          <w:color w:val="000000" w:themeColor="text1"/>
        </w:rPr>
        <w:t>1,996.36</w:t>
      </w:r>
      <w:r w:rsidRPr="03AEFD40">
        <w:rPr>
          <w:color w:val="000000" w:themeColor="text1"/>
        </w:rPr>
        <w:t xml:space="preserve"> per square metre using the inflation methodology </w:t>
      </w:r>
      <w:r w:rsidR="0156ABB6" w:rsidRPr="03AEFD40">
        <w:rPr>
          <w:color w:val="000000" w:themeColor="text1"/>
        </w:rPr>
        <w:t>set in that agreement</w:t>
      </w:r>
      <w:r w:rsidRPr="03AEFD40">
        <w:rPr>
          <w:color w:val="000000" w:themeColor="text1"/>
        </w:rPr>
        <w:t xml:space="preserve">. This produces an IRR of </w:t>
      </w:r>
      <w:r w:rsidR="00BB255A">
        <w:rPr>
          <w:color w:val="000000" w:themeColor="text1"/>
        </w:rPr>
        <w:t>5.30</w:t>
      </w:r>
      <w:r w:rsidRPr="03AEFD40">
        <w:rPr>
          <w:color w:val="000000" w:themeColor="text1"/>
        </w:rPr>
        <w:t xml:space="preserve">% and </w:t>
      </w:r>
      <w:r w:rsidR="00BB255A">
        <w:rPr>
          <w:color w:val="000000" w:themeColor="text1"/>
        </w:rPr>
        <w:t>3</w:t>
      </w:r>
      <w:r w:rsidR="10110FBC" w:rsidRPr="03AEFD40">
        <w:rPr>
          <w:color w:val="000000" w:themeColor="text1"/>
        </w:rPr>
        <w:t>6</w:t>
      </w:r>
      <w:r w:rsidRPr="03AEFD40">
        <w:rPr>
          <w:color w:val="000000" w:themeColor="text1"/>
        </w:rPr>
        <w:t xml:space="preserve"> years for payback</w:t>
      </w:r>
      <w:r w:rsidR="15D14C7F" w:rsidRPr="03AEFD40">
        <w:rPr>
          <w:color w:val="000000" w:themeColor="text1"/>
        </w:rPr>
        <w:t>,</w:t>
      </w:r>
      <w:r w:rsidRPr="03AEFD40">
        <w:rPr>
          <w:color w:val="000000" w:themeColor="text1"/>
        </w:rPr>
        <w:t xml:space="preserve"> alongside a NPV of £ </w:t>
      </w:r>
      <w:r w:rsidR="00BB255A">
        <w:rPr>
          <w:color w:val="000000" w:themeColor="text1"/>
        </w:rPr>
        <w:t>1,565,478</w:t>
      </w:r>
      <w:r w:rsidRPr="03AEFD40">
        <w:rPr>
          <w:color w:val="000000" w:themeColor="text1"/>
        </w:rPr>
        <w:t xml:space="preserve"> and is within the parameters of the approved </w:t>
      </w:r>
      <w:r w:rsidR="2F34B4B1" w:rsidRPr="03AEFD40">
        <w:rPr>
          <w:color w:val="000000" w:themeColor="text1"/>
        </w:rPr>
        <w:t>HRA</w:t>
      </w:r>
      <w:r w:rsidRPr="03AEFD40">
        <w:rPr>
          <w:color w:val="000000" w:themeColor="text1"/>
        </w:rPr>
        <w:t xml:space="preserve"> Business Plan.</w:t>
      </w:r>
    </w:p>
    <w:p w14:paraId="5C35DA91" w14:textId="4808FF30" w:rsidR="007E0EAD" w:rsidRDefault="007E0EAD" w:rsidP="03AEFD40">
      <w:pPr>
        <w:pStyle w:val="ListParagraph"/>
        <w:shd w:val="clear" w:color="auto" w:fill="FFFFFF" w:themeFill="background1"/>
        <w:spacing w:after="0"/>
        <w:contextualSpacing/>
        <w:rPr>
          <w:color w:val="000000" w:themeColor="text1"/>
        </w:rPr>
      </w:pPr>
      <w:r>
        <w:rPr>
          <w:color w:val="000000" w:themeColor="text1"/>
        </w:rPr>
        <w:t>The purchase is to take place in two transactions the</w:t>
      </w:r>
      <w:r w:rsidR="00BB255A">
        <w:rPr>
          <w:color w:val="000000" w:themeColor="text1"/>
        </w:rPr>
        <w:t xml:space="preserve"> </w:t>
      </w:r>
      <w:r>
        <w:rPr>
          <w:color w:val="000000" w:themeColor="text1"/>
        </w:rPr>
        <w:t>details of which are show</w:t>
      </w:r>
      <w:r w:rsidR="00BB255A">
        <w:rPr>
          <w:color w:val="000000" w:themeColor="text1"/>
        </w:rPr>
        <w:t>n</w:t>
      </w:r>
      <w:r>
        <w:rPr>
          <w:color w:val="000000" w:themeColor="text1"/>
        </w:rPr>
        <w:t xml:space="preserve"> in Appendix 1, summary as follows:</w:t>
      </w:r>
    </w:p>
    <w:p w14:paraId="151C4921" w14:textId="67BB5C5D" w:rsidR="007E0EAD" w:rsidRDefault="007E0EAD" w:rsidP="007E0EAD">
      <w:pPr>
        <w:pStyle w:val="ListParagraph"/>
        <w:numPr>
          <w:ilvl w:val="1"/>
          <w:numId w:val="5"/>
        </w:numPr>
        <w:shd w:val="clear" w:color="auto" w:fill="FFFFFF" w:themeFill="background1"/>
        <w:spacing w:after="0"/>
        <w:contextualSpacing/>
        <w:rPr>
          <w:color w:val="000000" w:themeColor="text1"/>
        </w:rPr>
      </w:pPr>
      <w:r>
        <w:rPr>
          <w:color w:val="000000" w:themeColor="text1"/>
        </w:rPr>
        <w:t>December 2025 – 11 units</w:t>
      </w:r>
    </w:p>
    <w:p w14:paraId="59A58B4D" w14:textId="042FEC61" w:rsidR="007E0EAD" w:rsidRDefault="007E0EAD" w:rsidP="007E0EAD">
      <w:pPr>
        <w:pStyle w:val="ListParagraph"/>
        <w:numPr>
          <w:ilvl w:val="1"/>
          <w:numId w:val="5"/>
        </w:numPr>
        <w:shd w:val="clear" w:color="auto" w:fill="FFFFFF" w:themeFill="background1"/>
        <w:spacing w:after="0"/>
        <w:contextualSpacing/>
        <w:rPr>
          <w:color w:val="000000" w:themeColor="text1"/>
        </w:rPr>
      </w:pPr>
      <w:r>
        <w:rPr>
          <w:color w:val="000000" w:themeColor="text1"/>
        </w:rPr>
        <w:t>January 2026 – 8 units</w:t>
      </w:r>
    </w:p>
    <w:p w14:paraId="227AF744" w14:textId="30B31332" w:rsidR="002B7EC5" w:rsidRDefault="002B7EC5" w:rsidP="00A85C65">
      <w:pPr>
        <w:pStyle w:val="ListParagraph"/>
      </w:pPr>
      <w:r>
        <w:t xml:space="preserve">The retention sum for each unit is £500.00. </w:t>
      </w:r>
    </w:p>
    <w:p w14:paraId="08F33F58" w14:textId="25EA242F" w:rsidR="00A85C65" w:rsidRDefault="00A85C65" w:rsidP="00A85C65">
      <w:pPr>
        <w:pStyle w:val="ListParagraph"/>
      </w:pPr>
      <w:r>
        <w:lastRenderedPageBreak/>
        <w:t>Included in the oncost sum for the scheme is an estimated transfer cost payable on completion</w:t>
      </w:r>
      <w:r w:rsidR="008C7F85">
        <w:t xml:space="preserve"> and handover of the units</w:t>
      </w:r>
      <w:r>
        <w:t>. The estimate is based on average unit fee for previous transfers at Barton Park and will be finalised when the parties issue completion statements. The payment covers legal document, land registry and management company fees.</w:t>
      </w:r>
    </w:p>
    <w:p w14:paraId="64F8DBBD" w14:textId="335A9B2F" w:rsidR="2BD8CC95" w:rsidRDefault="2BD8CC95" w:rsidP="68E107DB">
      <w:pPr>
        <w:shd w:val="clear" w:color="auto" w:fill="FFFFFF" w:themeFill="background1"/>
        <w:spacing w:after="0"/>
        <w:contextualSpacing/>
        <w:rPr>
          <w:rFonts w:cs="Arial"/>
          <w:color w:val="000000" w:themeColor="text1"/>
        </w:rPr>
      </w:pPr>
      <w:r w:rsidRPr="68E107DB">
        <w:rPr>
          <w:rFonts w:cs="Arial"/>
          <w:b/>
          <w:bCs/>
          <w:color w:val="000000" w:themeColor="text1"/>
        </w:rPr>
        <w:t>Legal issues</w:t>
      </w:r>
    </w:p>
    <w:p w14:paraId="50922421" w14:textId="63588325" w:rsidR="2BD8CC95" w:rsidRDefault="2BD8CC95" w:rsidP="68E107DB">
      <w:pPr>
        <w:pStyle w:val="ListParagraph"/>
        <w:shd w:val="clear" w:color="auto" w:fill="FFFFFF" w:themeFill="background1"/>
        <w:spacing w:after="0"/>
        <w:contextualSpacing/>
        <w:rPr>
          <w:rFonts w:cs="Arial"/>
          <w:color w:val="000000" w:themeColor="text1"/>
        </w:rPr>
      </w:pPr>
      <w:r w:rsidRPr="03AEFD40">
        <w:rPr>
          <w:rFonts w:cs="Arial"/>
          <w:color w:val="000000" w:themeColor="text1"/>
        </w:rPr>
        <w:t xml:space="preserve">The properties will be let to tenants nominated by the Council at social rents which comply with the s106 agreement for the site.  </w:t>
      </w:r>
    </w:p>
    <w:p w14:paraId="15A176ED" w14:textId="77CE75CC" w:rsidR="03AEFD40" w:rsidRDefault="03AEFD40" w:rsidP="03AEFD40">
      <w:pPr>
        <w:spacing w:after="0"/>
        <w:ind w:left="420" w:hanging="360"/>
        <w:rPr>
          <w:rFonts w:cs="Arial"/>
          <w:b/>
          <w:bCs/>
          <w:color w:val="auto"/>
        </w:rPr>
      </w:pPr>
    </w:p>
    <w:p w14:paraId="005C0E31" w14:textId="3BC433BB" w:rsidR="00A74D37" w:rsidRPr="00A74D37" w:rsidRDefault="00A74D37" w:rsidP="00A74D37">
      <w:pPr>
        <w:spacing w:after="0"/>
        <w:ind w:left="420" w:hanging="360"/>
        <w:textAlignment w:val="baseline"/>
        <w:rPr>
          <w:rFonts w:ascii="Segoe UI" w:hAnsi="Segoe UI" w:cs="Segoe UI"/>
          <w:sz w:val="18"/>
          <w:szCs w:val="18"/>
        </w:rPr>
      </w:pPr>
      <w:r w:rsidRPr="7CB39464">
        <w:rPr>
          <w:rFonts w:cs="Arial"/>
          <w:b/>
          <w:bCs/>
          <w:color w:val="auto"/>
        </w:rPr>
        <w:t>Level of risk</w:t>
      </w:r>
      <w:r w:rsidRPr="7CB39464">
        <w:rPr>
          <w:rFonts w:cs="Arial"/>
          <w:color w:val="auto"/>
        </w:rPr>
        <w:t> </w:t>
      </w:r>
    </w:p>
    <w:p w14:paraId="423E4F4E" w14:textId="11DA1E8F" w:rsidR="00A74D37" w:rsidRPr="00A74D37" w:rsidRDefault="00A74D37" w:rsidP="5900248A">
      <w:pPr>
        <w:pStyle w:val="ListParagraph"/>
        <w:spacing w:after="0"/>
        <w:contextualSpacing/>
        <w:textAlignment w:val="baseline"/>
        <w:rPr>
          <w:rFonts w:cs="Arial"/>
          <w:color w:val="auto"/>
        </w:rPr>
      </w:pPr>
      <w:r w:rsidRPr="03AEFD40">
        <w:rPr>
          <w:rFonts w:cs="Arial"/>
          <w:color w:val="auto"/>
        </w:rPr>
        <w:t>There is a requirement to adhere to the terms of the development agreement</w:t>
      </w:r>
      <w:r w:rsidR="68D891F1" w:rsidRPr="03AEFD40">
        <w:rPr>
          <w:rFonts w:cs="Arial"/>
          <w:color w:val="auto"/>
        </w:rPr>
        <w:t>s,</w:t>
      </w:r>
      <w:r w:rsidRPr="03AEFD40">
        <w:rPr>
          <w:rFonts w:cs="Arial"/>
          <w:color w:val="auto"/>
        </w:rPr>
        <w:t xml:space="preserve"> which require the Council to accept transfer at a specific point in time. That point has been formally reached, and the Council is now required to accept transfer with no ability to delay.   </w:t>
      </w:r>
    </w:p>
    <w:p w14:paraId="059E1CBD" w14:textId="194982B3" w:rsidR="00A74D37" w:rsidRPr="00A74D37" w:rsidRDefault="00A74D37" w:rsidP="5900248A">
      <w:pPr>
        <w:pStyle w:val="ListParagraph"/>
        <w:spacing w:after="0"/>
        <w:contextualSpacing/>
        <w:textAlignment w:val="baseline"/>
        <w:rPr>
          <w:rFonts w:cs="Arial"/>
        </w:rPr>
      </w:pPr>
      <w:r w:rsidRPr="68E107DB">
        <w:rPr>
          <w:rFonts w:cs="Arial"/>
          <w:color w:val="auto"/>
        </w:rPr>
        <w:t xml:space="preserve">Any delay in respect of properties now complete and able to be let (as currently owned by the developer) being transferred to the Council would remain vacant for an extended period when demand for council housing is significant.   </w:t>
      </w:r>
    </w:p>
    <w:p w14:paraId="325AD58A" w14:textId="459A0C18" w:rsidR="00A74D37" w:rsidRPr="00A74D37" w:rsidRDefault="00A74D37" w:rsidP="5900248A">
      <w:pPr>
        <w:pStyle w:val="ListParagraph"/>
        <w:spacing w:after="0"/>
        <w:contextualSpacing/>
        <w:textAlignment w:val="baseline"/>
        <w:rPr>
          <w:rFonts w:cs="Arial"/>
        </w:rPr>
      </w:pPr>
      <w:r w:rsidRPr="68E107DB">
        <w:rPr>
          <w:rFonts w:cs="Arial"/>
          <w:color w:val="auto"/>
        </w:rPr>
        <w:t>Additional costs and a significant capacity/resource impact would result if there was a need to repeat work already done in preparation for a later transfer date in terms of undertaking new financial assessments, legal advice and updates to that and an impact on capacity of officers in the housing service due to letting delays.</w:t>
      </w:r>
      <w:r>
        <w:br/>
      </w:r>
    </w:p>
    <w:p w14:paraId="61BEEB4B" w14:textId="77777777" w:rsidR="00A74D37" w:rsidRPr="00A74D37" w:rsidRDefault="00A74D37" w:rsidP="00A74D37">
      <w:pPr>
        <w:spacing w:after="0"/>
        <w:textAlignment w:val="baseline"/>
        <w:rPr>
          <w:rFonts w:ascii="Segoe UI" w:hAnsi="Segoe UI" w:cs="Segoe UI"/>
          <w:sz w:val="18"/>
          <w:szCs w:val="18"/>
        </w:rPr>
      </w:pPr>
      <w:r w:rsidRPr="00A74D37">
        <w:rPr>
          <w:rFonts w:cs="Arial"/>
          <w:b/>
          <w:bCs/>
          <w:color w:val="auto"/>
        </w:rPr>
        <w:t>Equalities impact </w:t>
      </w:r>
      <w:r w:rsidRPr="00A74D37">
        <w:rPr>
          <w:rFonts w:cs="Arial"/>
          <w:color w:val="auto"/>
        </w:rPr>
        <w:t> </w:t>
      </w:r>
    </w:p>
    <w:p w14:paraId="2454F4E3" w14:textId="328B0884" w:rsidR="00630829" w:rsidRPr="00186B26" w:rsidRDefault="00A74D37" w:rsidP="5900248A">
      <w:pPr>
        <w:pStyle w:val="ListParagraph"/>
        <w:spacing w:after="0"/>
        <w:contextualSpacing/>
        <w:textAlignment w:val="baseline"/>
        <w:rPr>
          <w:rFonts w:cs="Arial"/>
          <w:color w:val="000000" w:themeColor="text1"/>
        </w:rPr>
      </w:pPr>
      <w:r w:rsidRPr="68E107DB">
        <w:rPr>
          <w:rFonts w:cs="Arial"/>
          <w:color w:val="auto"/>
        </w:rPr>
        <w:t>It is considered that there are no adverse impacts in undertaking this activity, with the potential to improve provision for persons in housing need and the tenancy rights provided to tenants through secure tenancy agreements with the Council.  </w:t>
      </w: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9918" w:type="dxa"/>
        <w:tblLook w:val="04A0" w:firstRow="1" w:lastRow="0" w:firstColumn="1" w:lastColumn="0" w:noHBand="0" w:noVBand="1"/>
      </w:tblPr>
      <w:tblGrid>
        <w:gridCol w:w="1883"/>
        <w:gridCol w:w="4379"/>
        <w:gridCol w:w="3656"/>
      </w:tblGrid>
      <w:tr w:rsidR="00372A82" w:rsidRPr="003E4C33" w14:paraId="44F594ED" w14:textId="77777777" w:rsidTr="2BDEE800">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t>Financial implications</w:t>
            </w:r>
          </w:p>
        </w:tc>
        <w:tc>
          <w:tcPr>
            <w:tcW w:w="4379" w:type="dxa"/>
          </w:tcPr>
          <w:p w14:paraId="5FF7C676" w14:textId="3FAE63FA" w:rsidR="00372A82" w:rsidRPr="00C55247" w:rsidRDefault="7BEF2DD8" w:rsidP="7CB39464">
            <w:pPr>
              <w:rPr>
                <w:rStyle w:val="bParagraphtextChar"/>
                <w:rFonts w:cs="Arial"/>
                <w:color w:val="auto"/>
              </w:rPr>
            </w:pPr>
            <w:r w:rsidRPr="7CB39464">
              <w:rPr>
                <w:rStyle w:val="bParagraphtextChar"/>
                <w:rFonts w:cs="Arial"/>
                <w:color w:val="auto"/>
              </w:rPr>
              <w:t xml:space="preserve">Any risks inherent in this programme are already identified elsewhere, with actions to mitigate these detailed in the HRA Business Plans and the Council’s Medium Term Financial Plan. </w:t>
            </w:r>
          </w:p>
          <w:p w14:paraId="0696855A" w14:textId="4B5A50BC" w:rsidR="00372A82" w:rsidRPr="00C55247" w:rsidRDefault="498A09A6" w:rsidP="7CB39464">
            <w:r w:rsidRPr="2BDEE800">
              <w:rPr>
                <w:rStyle w:val="bParagraphtextChar"/>
                <w:rFonts w:cs="Arial"/>
                <w:color w:val="auto"/>
              </w:rPr>
              <w:t xml:space="preserve">The financial implications of these decisions remain consistent with those contained in the report considered by the Cabinet on the </w:t>
            </w:r>
            <w:proofErr w:type="gramStart"/>
            <w:r w:rsidRPr="2BDEE800">
              <w:rPr>
                <w:rStyle w:val="bParagraphtextChar"/>
                <w:rFonts w:cs="Arial"/>
                <w:color w:val="auto"/>
              </w:rPr>
              <w:t>16th</w:t>
            </w:r>
            <w:proofErr w:type="gramEnd"/>
            <w:r w:rsidRPr="2BDEE800">
              <w:rPr>
                <w:rStyle w:val="bParagraphtextChar"/>
                <w:rFonts w:cs="Arial"/>
                <w:color w:val="auto"/>
              </w:rPr>
              <w:t xml:space="preserve"> October 2024.  </w:t>
            </w:r>
          </w:p>
        </w:tc>
        <w:tc>
          <w:tcPr>
            <w:tcW w:w="3656" w:type="dxa"/>
          </w:tcPr>
          <w:p w14:paraId="57868ECF" w14:textId="77777777" w:rsidR="00372A82" w:rsidRPr="00C55247" w:rsidRDefault="001A1BA1" w:rsidP="00C076B9">
            <w:pPr>
              <w:pStyle w:val="Bulletpoints"/>
              <w:numPr>
                <w:ilvl w:val="0"/>
                <w:numId w:val="0"/>
              </w:numPr>
              <w:rPr>
                <w:rFonts w:cs="Arial"/>
                <w:b/>
                <w:color w:val="auto"/>
              </w:rPr>
            </w:pPr>
            <w:r w:rsidRPr="2BDEE800">
              <w:rPr>
                <w:rFonts w:cs="Arial"/>
                <w:b/>
                <w:bCs/>
                <w:color w:val="auto"/>
              </w:rPr>
              <w:t>Completed by:</w:t>
            </w:r>
          </w:p>
          <w:p w14:paraId="2E74B6AE" w14:textId="782CE555" w:rsidR="37E01443" w:rsidRDefault="37E01443" w:rsidP="2BDEE800">
            <w:pPr>
              <w:pStyle w:val="Bulletpoints"/>
              <w:numPr>
                <w:ilvl w:val="0"/>
                <w:numId w:val="0"/>
              </w:numPr>
              <w:spacing w:line="259" w:lineRule="auto"/>
              <w:rPr>
                <w:rFonts w:cs="Arial"/>
                <w:color w:val="auto"/>
              </w:rPr>
            </w:pPr>
            <w:r w:rsidRPr="2BDEE800">
              <w:rPr>
                <w:rFonts w:cs="Arial"/>
                <w:color w:val="auto"/>
              </w:rPr>
              <w:t>Jason Jones</w:t>
            </w:r>
          </w:p>
          <w:p w14:paraId="7DB0BC85" w14:textId="77777777" w:rsidR="001A1BA1" w:rsidRPr="00C55247" w:rsidRDefault="001A1BA1" w:rsidP="00C076B9">
            <w:pPr>
              <w:pStyle w:val="Bulletpoints"/>
              <w:numPr>
                <w:ilvl w:val="0"/>
                <w:numId w:val="0"/>
              </w:numPr>
              <w:rPr>
                <w:rFonts w:cs="Arial"/>
                <w:b/>
                <w:color w:val="auto"/>
              </w:rPr>
            </w:pPr>
            <w:r w:rsidRPr="2BDEE800">
              <w:rPr>
                <w:rFonts w:cs="Arial"/>
                <w:b/>
                <w:bCs/>
                <w:color w:val="auto"/>
              </w:rPr>
              <w:t>Date:</w:t>
            </w:r>
          </w:p>
          <w:p w14:paraId="003D265E" w14:textId="1CD9BAEE" w:rsidR="001A1BA1" w:rsidRPr="00C55247" w:rsidRDefault="0E59E532" w:rsidP="2BDEE800">
            <w:pPr>
              <w:pStyle w:val="Bulletpoints"/>
              <w:numPr>
                <w:ilvl w:val="0"/>
                <w:numId w:val="0"/>
              </w:numPr>
              <w:spacing w:line="259" w:lineRule="auto"/>
              <w:rPr>
                <w:rFonts w:cs="Arial"/>
                <w:color w:val="auto"/>
              </w:rPr>
            </w:pPr>
            <w:r w:rsidRPr="2BDEE800">
              <w:rPr>
                <w:rFonts w:cs="Arial"/>
                <w:color w:val="auto"/>
              </w:rPr>
              <w:t>04.12.2025</w:t>
            </w:r>
          </w:p>
        </w:tc>
      </w:tr>
      <w:tr w:rsidR="00372A82" w:rsidRPr="003E4C33" w14:paraId="7D8DECFB" w14:textId="77777777" w:rsidTr="2BDEE800">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11BAD199" w14:textId="618FDB17" w:rsidR="00372A82" w:rsidRPr="00C55247" w:rsidRDefault="39BE90B8" w:rsidP="2BDEE800">
            <w:pPr>
              <w:rPr>
                <w:rStyle w:val="bParagraphtextChar"/>
                <w:rFonts w:cs="Arial"/>
                <w:color w:val="auto"/>
              </w:rPr>
            </w:pPr>
            <w:r w:rsidRPr="2BDEE800">
              <w:rPr>
                <w:rStyle w:val="bParagraphtextChar"/>
                <w:rFonts w:cs="Arial"/>
                <w:color w:val="auto"/>
              </w:rPr>
              <w:t>The transfer documentation has been negotiated by external solicitors acting for the Counci</w:t>
            </w:r>
            <w:r w:rsidR="43862F05" w:rsidRPr="2BDEE800">
              <w:rPr>
                <w:rStyle w:val="bParagraphtextChar"/>
                <w:rFonts w:cs="Arial"/>
                <w:color w:val="auto"/>
              </w:rPr>
              <w:t xml:space="preserve">l who have several years of experience with previous phases </w:t>
            </w:r>
            <w:proofErr w:type="gramStart"/>
            <w:r w:rsidR="43862F05" w:rsidRPr="2BDEE800">
              <w:rPr>
                <w:rStyle w:val="bParagraphtextChar"/>
                <w:rFonts w:cs="Arial"/>
                <w:color w:val="auto"/>
              </w:rPr>
              <w:t>in order to</w:t>
            </w:r>
            <w:proofErr w:type="gramEnd"/>
            <w:r w:rsidR="43862F05" w:rsidRPr="2BDEE800">
              <w:rPr>
                <w:rStyle w:val="bParagraphtextChar"/>
                <w:rFonts w:cs="Arial"/>
                <w:color w:val="auto"/>
              </w:rPr>
              <w:t xml:space="preserve"> protect the Councils </w:t>
            </w:r>
            <w:r w:rsidR="18F31837" w:rsidRPr="2BDEE800">
              <w:rPr>
                <w:rStyle w:val="bParagraphtextChar"/>
                <w:rFonts w:cs="Arial"/>
                <w:color w:val="auto"/>
              </w:rPr>
              <w:t>position.</w:t>
            </w:r>
          </w:p>
        </w:tc>
        <w:tc>
          <w:tcPr>
            <w:tcW w:w="365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09AD926F" w14:textId="0CF5CCE9" w:rsidR="001A1BA1" w:rsidRPr="00C55247" w:rsidRDefault="486E10AE" w:rsidP="001A1BA1">
            <w:pPr>
              <w:pStyle w:val="Bulletpoints"/>
              <w:numPr>
                <w:ilvl w:val="0"/>
                <w:numId w:val="0"/>
              </w:numPr>
            </w:pPr>
            <w:r w:rsidRPr="2BDEE800">
              <w:rPr>
                <w:rFonts w:cs="Arial"/>
                <w:color w:val="auto"/>
              </w:rPr>
              <w:t>Catherine Durance</w:t>
            </w:r>
          </w:p>
          <w:p w14:paraId="671A32AC" w14:textId="41727DCF" w:rsidR="486E10AE" w:rsidRDefault="486E10AE" w:rsidP="2BDEE800">
            <w:pPr>
              <w:pStyle w:val="Bulletpoints"/>
              <w:numPr>
                <w:ilvl w:val="0"/>
                <w:numId w:val="0"/>
              </w:numPr>
            </w:pPr>
            <w:r w:rsidRPr="2BDEE800">
              <w:rPr>
                <w:rFonts w:cs="Arial"/>
                <w:color w:val="auto"/>
              </w:rPr>
              <w:t>Lawyer</w:t>
            </w:r>
          </w:p>
          <w:p w14:paraId="62D75828" w14:textId="77777777" w:rsidR="001A1BA1" w:rsidRPr="00C55247" w:rsidRDefault="001A1BA1" w:rsidP="001A1BA1">
            <w:pPr>
              <w:pStyle w:val="Bulletpoints"/>
              <w:numPr>
                <w:ilvl w:val="0"/>
                <w:numId w:val="0"/>
              </w:numPr>
              <w:rPr>
                <w:rFonts w:cs="Arial"/>
                <w:b/>
                <w:color w:val="auto"/>
              </w:rPr>
            </w:pPr>
            <w:r w:rsidRPr="2BDEE800">
              <w:rPr>
                <w:rFonts w:cs="Arial"/>
                <w:b/>
                <w:bCs/>
                <w:color w:val="auto"/>
              </w:rPr>
              <w:t>Date:</w:t>
            </w:r>
          </w:p>
          <w:p w14:paraId="7A5DDA55" w14:textId="73E816D8" w:rsidR="00372A82" w:rsidRPr="00C55247" w:rsidRDefault="0FD94F77" w:rsidP="2BDEE800">
            <w:pPr>
              <w:pStyle w:val="Bulletpoints"/>
              <w:numPr>
                <w:ilvl w:val="0"/>
                <w:numId w:val="0"/>
              </w:numPr>
              <w:spacing w:line="259" w:lineRule="auto"/>
              <w:rPr>
                <w:rFonts w:cs="Arial"/>
                <w:color w:val="auto"/>
              </w:rPr>
            </w:pPr>
            <w:r w:rsidRPr="2BDEE800">
              <w:rPr>
                <w:rFonts w:cs="Arial"/>
                <w:color w:val="auto"/>
              </w:rPr>
              <w:t>05.12.2025</w:t>
            </w:r>
          </w:p>
        </w:tc>
      </w:tr>
      <w:tr w:rsidR="001A1BA1" w:rsidRPr="003E4C33" w14:paraId="6F38FEBF" w14:textId="77777777" w:rsidTr="2BDEE800">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C2105E" w14:textId="5A98CD2A" w:rsidR="00CB7A4F" w:rsidRPr="00C55247" w:rsidRDefault="00CB7A4F" w:rsidP="00372A82">
            <w:pPr>
              <w:pStyle w:val="bParagraphtext"/>
              <w:numPr>
                <w:ilvl w:val="0"/>
                <w:numId w:val="0"/>
              </w:numPr>
              <w:rPr>
                <w:rFonts w:cs="Arial"/>
                <w:color w:val="auto"/>
              </w:rPr>
            </w:pPr>
          </w:p>
        </w:tc>
        <w:tc>
          <w:tcPr>
            <w:tcW w:w="3656" w:type="dxa"/>
          </w:tcPr>
          <w:p w14:paraId="48FAD318"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59811DC1" w14:textId="6CBBB02F" w:rsidR="001A1BA1" w:rsidRPr="00C55247" w:rsidRDefault="00E36866" w:rsidP="001A1BA1">
            <w:pPr>
              <w:pStyle w:val="Bulletpoints"/>
              <w:numPr>
                <w:ilvl w:val="0"/>
                <w:numId w:val="0"/>
              </w:numPr>
              <w:rPr>
                <w:rFonts w:cs="Arial"/>
                <w:color w:val="auto"/>
              </w:rPr>
            </w:pPr>
            <w:r>
              <w:rPr>
                <w:rFonts w:cs="Arial"/>
                <w:color w:val="auto"/>
              </w:rPr>
              <w:t>Allison Dalton</w:t>
            </w:r>
          </w:p>
          <w:p w14:paraId="495F4D61"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68285B07" w14:textId="2ED28F1D" w:rsidR="001A1BA1" w:rsidRPr="00C55247" w:rsidRDefault="00E36866" w:rsidP="001A1BA1">
            <w:pPr>
              <w:pStyle w:val="Bulletpoints"/>
              <w:numPr>
                <w:ilvl w:val="0"/>
                <w:numId w:val="0"/>
              </w:numPr>
              <w:rPr>
                <w:rFonts w:cs="Arial"/>
                <w:color w:val="auto"/>
              </w:rPr>
            </w:pPr>
            <w:r>
              <w:rPr>
                <w:rFonts w:cs="Arial"/>
                <w:color w:val="auto"/>
              </w:rPr>
              <w:t>December 11, 2025</w:t>
            </w:r>
          </w:p>
        </w:tc>
      </w:tr>
      <w:tr w:rsidR="007967CA" w:rsidRPr="003E4C33" w14:paraId="2C18B277" w14:textId="77777777" w:rsidTr="2BDEE800">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lastRenderedPageBreak/>
              <w:t xml:space="preserve">Member declared interests </w:t>
            </w:r>
          </w:p>
        </w:tc>
        <w:tc>
          <w:tcPr>
            <w:tcW w:w="4379" w:type="dxa"/>
          </w:tcPr>
          <w:p w14:paraId="0033AA4D" w14:textId="79222895" w:rsidR="007967CA" w:rsidRPr="00C55247" w:rsidRDefault="00E36866" w:rsidP="00372A82">
            <w:pPr>
              <w:pStyle w:val="bParagraphtext"/>
              <w:numPr>
                <w:ilvl w:val="0"/>
                <w:numId w:val="0"/>
              </w:numPr>
              <w:rPr>
                <w:rFonts w:cs="Arial"/>
                <w:color w:val="auto"/>
              </w:rPr>
            </w:pPr>
            <w:r>
              <w:rPr>
                <w:rFonts w:cs="Arial"/>
                <w:color w:val="auto"/>
              </w:rPr>
              <w:t xml:space="preserve">None. </w:t>
            </w:r>
          </w:p>
        </w:tc>
        <w:tc>
          <w:tcPr>
            <w:tcW w:w="3656" w:type="dxa"/>
          </w:tcPr>
          <w:p w14:paraId="7424BC62" w14:textId="77777777" w:rsidR="007967CA" w:rsidRPr="00C55247" w:rsidRDefault="007967CA" w:rsidP="007967CA">
            <w:pPr>
              <w:pStyle w:val="Bulletpoints"/>
              <w:numPr>
                <w:ilvl w:val="0"/>
                <w:numId w:val="0"/>
              </w:numPr>
              <w:rPr>
                <w:rFonts w:cs="Arial"/>
                <w:b/>
                <w:color w:val="auto"/>
              </w:rPr>
            </w:pPr>
            <w:r w:rsidRPr="00C55247">
              <w:rPr>
                <w:rFonts w:cs="Arial"/>
                <w:b/>
                <w:color w:val="auto"/>
              </w:rPr>
              <w:t>Completed by:</w:t>
            </w:r>
          </w:p>
          <w:p w14:paraId="405BF3DD" w14:textId="4F260846" w:rsidR="007967CA" w:rsidRPr="00C55247" w:rsidRDefault="00E36866" w:rsidP="007967CA">
            <w:pPr>
              <w:pStyle w:val="Bulletpoints"/>
              <w:numPr>
                <w:ilvl w:val="0"/>
                <w:numId w:val="0"/>
              </w:numPr>
              <w:rPr>
                <w:rFonts w:cs="Arial"/>
                <w:color w:val="auto"/>
              </w:rPr>
            </w:pPr>
            <w:r>
              <w:rPr>
                <w:rFonts w:cs="Arial"/>
                <w:color w:val="auto"/>
              </w:rPr>
              <w:t>Allison Dalton</w:t>
            </w:r>
          </w:p>
          <w:p w14:paraId="22A72D4B" w14:textId="77777777" w:rsidR="007967CA" w:rsidRPr="00C55247" w:rsidRDefault="007967CA" w:rsidP="007967CA">
            <w:pPr>
              <w:pStyle w:val="Bulletpoints"/>
              <w:numPr>
                <w:ilvl w:val="0"/>
                <w:numId w:val="0"/>
              </w:numPr>
              <w:rPr>
                <w:rFonts w:cs="Arial"/>
                <w:b/>
                <w:color w:val="auto"/>
              </w:rPr>
            </w:pPr>
            <w:r w:rsidRPr="00C55247">
              <w:rPr>
                <w:rFonts w:cs="Arial"/>
                <w:b/>
                <w:color w:val="auto"/>
              </w:rPr>
              <w:t>Date:</w:t>
            </w:r>
          </w:p>
          <w:p w14:paraId="5918EBBE" w14:textId="57EC9732" w:rsidR="007967CA" w:rsidRPr="00C55247" w:rsidRDefault="00E36866" w:rsidP="007967CA">
            <w:pPr>
              <w:pStyle w:val="Bulletpoints"/>
              <w:numPr>
                <w:ilvl w:val="0"/>
                <w:numId w:val="0"/>
              </w:numPr>
              <w:rPr>
                <w:rFonts w:cs="Arial"/>
                <w:b/>
                <w:color w:val="auto"/>
              </w:rPr>
            </w:pPr>
            <w:r>
              <w:rPr>
                <w:rFonts w:cs="Arial"/>
                <w:color w:val="auto"/>
              </w:rPr>
              <w:t>December 11, 2025</w:t>
            </w:r>
          </w:p>
        </w:tc>
      </w:tr>
    </w:tbl>
    <w:p w14:paraId="4C6ACBCE" w14:textId="77777777" w:rsidR="00B513DA" w:rsidRDefault="00B513DA">
      <w:pPr>
        <w:pStyle w:val="bParagraphtext"/>
        <w:numPr>
          <w:ilvl w:val="0"/>
          <w:numId w:val="0"/>
        </w:numPr>
        <w:rPr>
          <w:rFonts w:cs="Arial"/>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6C767F" w:rsidRPr="003E4C33" w14:paraId="07218A10" w14:textId="77777777" w:rsidTr="2BDEE800">
        <w:tc>
          <w:tcPr>
            <w:tcW w:w="9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359272A3" w:rsidR="006C767F" w:rsidRPr="003E4C33" w:rsidRDefault="006C767F">
            <w:pPr>
              <w:jc w:val="center"/>
              <w:rPr>
                <w:rFonts w:cs="Arial"/>
              </w:rPr>
            </w:pPr>
            <w:r w:rsidRPr="003E4C33">
              <w:rPr>
                <w:rStyle w:val="Firstpagetablebold"/>
                <w:rFonts w:cs="Arial"/>
              </w:rPr>
              <w:t xml:space="preserve">Background Documents </w:t>
            </w:r>
          </w:p>
        </w:tc>
      </w:tr>
      <w:tr w:rsidR="006C767F" w:rsidRPr="003E4C33" w14:paraId="269EBDEB" w14:textId="77777777" w:rsidTr="2BDEE800">
        <w:tc>
          <w:tcPr>
            <w:tcW w:w="9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46D4C2" w14:textId="77777777" w:rsidR="006C767F" w:rsidRPr="003E4C33" w:rsidRDefault="02EEAE09" w:rsidP="12E744BB">
            <w:r>
              <w:t xml:space="preserve">Cabinet Report and appendices for the decision of Cabinet taken on the 16 October 2024 - </w:t>
            </w:r>
            <w:hyperlink r:id="rId12">
              <w:r w:rsidRPr="7CB39464">
                <w:rPr>
                  <w:rFonts w:ascii="Helvetica" w:hAnsi="Helvetica" w:cs="Helvetica"/>
                </w:rPr>
                <w:t>Acquisition of Social Rent Properties at Barton Park</w:t>
              </w:r>
            </w:hyperlink>
          </w:p>
          <w:p w14:paraId="78FD4075" w14:textId="16EEB015" w:rsidR="006C767F" w:rsidRPr="003E4C33" w:rsidRDefault="02EEAE09" w:rsidP="7CB39464">
            <w:pPr>
              <w:rPr>
                <w:rFonts w:cs="Arial"/>
                <w:color w:val="auto"/>
              </w:rPr>
            </w:pPr>
            <w:hyperlink r:id="rId13">
              <w:r w:rsidRPr="7CB39464">
                <w:rPr>
                  <w:rStyle w:val="Hyperlink"/>
                  <w:rFonts w:cs="Arial"/>
                </w:rPr>
                <w:t>https://mycouncil.oxford.gov.uk/documents/s81644/Cabinet%20Report%20Barton%20Park%20acquisitions%2016%20Oct%202024%20v3%2019%20Sept.pdf</w:t>
              </w:r>
            </w:hyperlink>
          </w:p>
        </w:tc>
      </w:tr>
    </w:tbl>
    <w:p w14:paraId="0D36453B" w14:textId="1874FC0C" w:rsidR="00FB3B71" w:rsidRPr="003E4C33" w:rsidRDefault="00FB3B71" w:rsidP="0033565F">
      <w:pPr>
        <w:pStyle w:val="bParagraphtext"/>
        <w:numPr>
          <w:ilvl w:val="0"/>
          <w:numId w:val="0"/>
        </w:numPr>
        <w:ind w:left="426"/>
        <w:rPr>
          <w:rFonts w:cs="Arial"/>
          <w:b/>
          <w:bCs/>
        </w:rPr>
      </w:pPr>
    </w:p>
    <w:tbl>
      <w:tblPr>
        <w:tblW w:w="9923" w:type="dxa"/>
        <w:tblInd w:w="-10"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4087"/>
        <w:gridCol w:w="5836"/>
      </w:tblGrid>
      <w:tr w:rsidR="00DF093E" w:rsidRPr="003E4C33" w14:paraId="1F687E48" w14:textId="77777777" w:rsidTr="00B513DA">
        <w:trPr>
          <w:cantSplit/>
          <w:trHeight w:val="396"/>
        </w:trPr>
        <w:tc>
          <w:tcPr>
            <w:tcW w:w="4087"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5836" w:type="dxa"/>
            <w:tcBorders>
              <w:top w:val="single" w:sz="8" w:space="0" w:color="000000"/>
              <w:left w:val="nil"/>
              <w:bottom w:val="single" w:sz="8" w:space="0" w:color="000000"/>
              <w:right w:val="single" w:sz="8" w:space="0" w:color="000000"/>
            </w:tcBorders>
          </w:tcPr>
          <w:p w14:paraId="10A18498" w14:textId="1493D252" w:rsidR="00E87F7A" w:rsidRPr="003E4C33" w:rsidRDefault="00017026" w:rsidP="00A46E98">
            <w:pPr>
              <w:rPr>
                <w:rFonts w:cs="Arial"/>
              </w:rPr>
            </w:pPr>
            <w:r>
              <w:rPr>
                <w:rFonts w:cs="Arial"/>
              </w:rPr>
              <w:t>Dave Scholes</w:t>
            </w:r>
          </w:p>
        </w:tc>
      </w:tr>
      <w:tr w:rsidR="00DF093E" w:rsidRPr="003E4C33" w14:paraId="4C699F40" w14:textId="77777777" w:rsidTr="00B513DA">
        <w:trPr>
          <w:cantSplit/>
          <w:trHeight w:val="396"/>
        </w:trPr>
        <w:tc>
          <w:tcPr>
            <w:tcW w:w="4087"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5836" w:type="dxa"/>
            <w:tcBorders>
              <w:top w:val="single" w:sz="8" w:space="0" w:color="000000"/>
              <w:left w:val="nil"/>
              <w:bottom w:val="nil"/>
              <w:right w:val="single" w:sz="8" w:space="0" w:color="000000"/>
            </w:tcBorders>
          </w:tcPr>
          <w:p w14:paraId="4290E9E4" w14:textId="54259857" w:rsidR="00E87F7A" w:rsidRPr="00C55247" w:rsidRDefault="008C7F85" w:rsidP="00A46E98">
            <w:pPr>
              <w:rPr>
                <w:rFonts w:cs="Arial"/>
                <w:color w:val="auto"/>
              </w:rPr>
            </w:pPr>
            <w:r>
              <w:rPr>
                <w:rFonts w:cs="Arial"/>
                <w:color w:val="auto"/>
              </w:rPr>
              <w:t>Affordable Housing Supply Corporate Lead</w:t>
            </w:r>
          </w:p>
        </w:tc>
      </w:tr>
      <w:tr w:rsidR="00DF093E" w:rsidRPr="003E4C33" w14:paraId="724C97C1" w14:textId="77777777" w:rsidTr="00B513DA">
        <w:trPr>
          <w:cantSplit/>
          <w:trHeight w:val="396"/>
        </w:trPr>
        <w:tc>
          <w:tcPr>
            <w:tcW w:w="4087"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5836" w:type="dxa"/>
            <w:tcBorders>
              <w:top w:val="nil"/>
              <w:left w:val="nil"/>
              <w:bottom w:val="nil"/>
              <w:right w:val="single" w:sz="8" w:space="0" w:color="000000"/>
            </w:tcBorders>
          </w:tcPr>
          <w:p w14:paraId="64678455" w14:textId="6C09639D" w:rsidR="00E87F7A" w:rsidRPr="00C55247" w:rsidRDefault="008C7F85" w:rsidP="008C7F85">
            <w:pPr>
              <w:rPr>
                <w:rFonts w:cs="Arial"/>
                <w:color w:val="auto"/>
              </w:rPr>
            </w:pPr>
            <w:r w:rsidRPr="008C7F85">
              <w:rPr>
                <w:rFonts w:cs="Arial"/>
                <w:color w:val="auto"/>
              </w:rPr>
              <w:t>Housing Supply</w:t>
            </w:r>
            <w:r>
              <w:rPr>
                <w:rFonts w:cs="Arial"/>
                <w:color w:val="auto"/>
              </w:rPr>
              <w:t xml:space="preserve">, </w:t>
            </w:r>
            <w:r w:rsidRPr="008C7F85">
              <w:rPr>
                <w:rFonts w:cs="Arial"/>
                <w:color w:val="auto"/>
              </w:rPr>
              <w:t>Economy, Regeneration &amp; Sustainability</w:t>
            </w:r>
          </w:p>
        </w:tc>
      </w:tr>
      <w:tr w:rsidR="005570B5" w:rsidRPr="003E4C33" w14:paraId="1192348E" w14:textId="77777777" w:rsidTr="00B513DA">
        <w:trPr>
          <w:cantSplit/>
          <w:trHeight w:val="60"/>
        </w:trPr>
        <w:tc>
          <w:tcPr>
            <w:tcW w:w="4087"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5836" w:type="dxa"/>
            <w:tcBorders>
              <w:top w:val="nil"/>
              <w:left w:val="nil"/>
              <w:bottom w:val="single" w:sz="8" w:space="0" w:color="000000"/>
              <w:right w:val="single" w:sz="8" w:space="0" w:color="000000"/>
            </w:tcBorders>
          </w:tcPr>
          <w:p w14:paraId="217B4852" w14:textId="789D0589" w:rsidR="00E87F7A" w:rsidRPr="00C55247" w:rsidRDefault="008C7F85" w:rsidP="00A46E98">
            <w:pPr>
              <w:rPr>
                <w:rStyle w:val="Hyperlink"/>
                <w:rFonts w:cs="Arial"/>
                <w:color w:val="auto"/>
              </w:rPr>
            </w:pPr>
            <w:r>
              <w:t>dscholes@oxford.gov.uk</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923" w:type="dxa"/>
        <w:tblInd w:w="-5" w:type="dxa"/>
        <w:tblLook w:val="04A0" w:firstRow="1" w:lastRow="0" w:firstColumn="1" w:lastColumn="0" w:noHBand="0" w:noVBand="1"/>
      </w:tblPr>
      <w:tblGrid>
        <w:gridCol w:w="3686"/>
        <w:gridCol w:w="3969"/>
        <w:gridCol w:w="2268"/>
      </w:tblGrid>
      <w:tr w:rsidR="001A1BA1" w:rsidRPr="003E4C33" w14:paraId="55292CC4" w14:textId="77777777" w:rsidTr="7120C3A0">
        <w:trPr>
          <w:trHeight w:val="516"/>
        </w:trPr>
        <w:tc>
          <w:tcPr>
            <w:tcW w:w="3686" w:type="dxa"/>
          </w:tcPr>
          <w:p w14:paraId="423E2C51" w14:textId="77777777" w:rsidR="001A1BA1" w:rsidRPr="003E4C33" w:rsidRDefault="001A1BA1">
            <w:pPr>
              <w:spacing w:before="120"/>
              <w:rPr>
                <w:b/>
                <w:i/>
              </w:rPr>
            </w:pPr>
            <w:r w:rsidRPr="003E4C33">
              <w:rPr>
                <w:b/>
                <w:i/>
              </w:rPr>
              <w:t>Consultees</w:t>
            </w:r>
          </w:p>
        </w:tc>
        <w:tc>
          <w:tcPr>
            <w:tcW w:w="3969" w:type="dxa"/>
            <w:vAlign w:val="center"/>
          </w:tcPr>
          <w:p w14:paraId="66370075" w14:textId="77777777" w:rsidR="001A1BA1" w:rsidRPr="003E4C33" w:rsidRDefault="001A1BA1">
            <w:pPr>
              <w:rPr>
                <w:b/>
                <w:i/>
              </w:rPr>
            </w:pPr>
            <w:r w:rsidRPr="003E4C33">
              <w:rPr>
                <w:b/>
                <w:i/>
              </w:rPr>
              <w:t>Name and job title</w:t>
            </w:r>
          </w:p>
        </w:tc>
        <w:tc>
          <w:tcPr>
            <w:tcW w:w="2268" w:type="dxa"/>
            <w:vAlign w:val="center"/>
          </w:tcPr>
          <w:p w14:paraId="67196AF5" w14:textId="77777777" w:rsidR="001A1BA1" w:rsidRPr="003E4C33" w:rsidRDefault="001A1BA1">
            <w:pPr>
              <w:rPr>
                <w:b/>
                <w:i/>
              </w:rPr>
            </w:pPr>
            <w:r w:rsidRPr="003E4C33">
              <w:rPr>
                <w:b/>
                <w:i/>
              </w:rPr>
              <w:t xml:space="preserve">Date </w:t>
            </w:r>
          </w:p>
        </w:tc>
      </w:tr>
      <w:tr w:rsidR="001A1BA1" w:rsidRPr="003E4C33" w14:paraId="5F3F749A" w14:textId="77777777" w:rsidTr="7120C3A0">
        <w:trPr>
          <w:trHeight w:val="516"/>
        </w:trPr>
        <w:tc>
          <w:tcPr>
            <w:tcW w:w="3686" w:type="dxa"/>
            <w:vAlign w:val="center"/>
          </w:tcPr>
          <w:p w14:paraId="27A74D65" w14:textId="77777777" w:rsidR="001A1BA1" w:rsidRPr="003E4C33" w:rsidRDefault="001A1BA1">
            <w:pPr>
              <w:spacing w:before="120"/>
              <w:rPr>
                <w:b/>
              </w:rPr>
            </w:pPr>
            <w:r w:rsidRPr="003E4C33">
              <w:rPr>
                <w:b/>
              </w:rPr>
              <w:t>Senior officer</w:t>
            </w:r>
          </w:p>
          <w:p w14:paraId="5850EEA3" w14:textId="17C42106" w:rsidR="001A1BA1" w:rsidRPr="003E4C33" w:rsidRDefault="001A1BA1">
            <w:pPr>
              <w:spacing w:before="120"/>
            </w:pPr>
          </w:p>
        </w:tc>
        <w:tc>
          <w:tcPr>
            <w:tcW w:w="3969" w:type="dxa"/>
            <w:vAlign w:val="center"/>
          </w:tcPr>
          <w:p w14:paraId="33643298" w14:textId="77777777" w:rsidR="00581DFE" w:rsidRDefault="00581DFE" w:rsidP="7CB39464">
            <w:pPr>
              <w:spacing w:line="259" w:lineRule="auto"/>
              <w:rPr>
                <w:color w:val="auto"/>
              </w:rPr>
            </w:pPr>
            <w:r>
              <w:rPr>
                <w:color w:val="auto"/>
              </w:rPr>
              <w:t>Tom Hook</w:t>
            </w:r>
          </w:p>
          <w:p w14:paraId="33DFBFFA" w14:textId="777A8C45" w:rsidR="001A1BA1" w:rsidRPr="00C55247" w:rsidRDefault="00BA4BE5" w:rsidP="7CB39464">
            <w:pPr>
              <w:spacing w:line="259" w:lineRule="auto"/>
              <w:rPr>
                <w:color w:val="auto"/>
              </w:rPr>
            </w:pPr>
            <w:r w:rsidRPr="00BA4BE5">
              <w:rPr>
                <w:color w:val="auto"/>
              </w:rPr>
              <w:t>Deputy Chief Executive – City and Citizen Services</w:t>
            </w:r>
          </w:p>
        </w:tc>
        <w:tc>
          <w:tcPr>
            <w:tcW w:w="2268" w:type="dxa"/>
            <w:vAlign w:val="center"/>
          </w:tcPr>
          <w:p w14:paraId="29D4AEB7" w14:textId="65FB0123" w:rsidR="001A1BA1" w:rsidRPr="003E4C33" w:rsidRDefault="3BE35CEE">
            <w:r>
              <w:t>05.12.25</w:t>
            </w:r>
          </w:p>
        </w:tc>
      </w:tr>
      <w:tr w:rsidR="001A1BA1" w:rsidRPr="003E4C33" w14:paraId="5B08396D" w14:textId="77777777" w:rsidTr="7120C3A0">
        <w:trPr>
          <w:trHeight w:val="1161"/>
        </w:trPr>
        <w:tc>
          <w:tcPr>
            <w:tcW w:w="3686" w:type="dxa"/>
          </w:tcPr>
          <w:p w14:paraId="206914C9" w14:textId="56FA33D0" w:rsidR="001A1BA1" w:rsidRPr="003E4C33" w:rsidRDefault="00D566E2">
            <w:pPr>
              <w:spacing w:before="120"/>
              <w:rPr>
                <w:b/>
              </w:rPr>
            </w:pPr>
            <w:r>
              <w:rPr>
                <w:b/>
              </w:rPr>
              <w:t>Group Finance Director</w:t>
            </w:r>
          </w:p>
          <w:p w14:paraId="7A4F1884" w14:textId="379C5042" w:rsidR="001A1BA1" w:rsidRPr="003E4C33" w:rsidRDefault="001A1BA1">
            <w:pPr>
              <w:spacing w:before="120"/>
            </w:pPr>
          </w:p>
        </w:tc>
        <w:tc>
          <w:tcPr>
            <w:tcW w:w="3969" w:type="dxa"/>
            <w:vAlign w:val="center"/>
          </w:tcPr>
          <w:p w14:paraId="1EA0B7A5" w14:textId="77777777" w:rsidR="001A1BA1" w:rsidRDefault="728B1D10">
            <w:r>
              <w:t>Nigel Kennedy</w:t>
            </w:r>
          </w:p>
          <w:p w14:paraId="476C7451" w14:textId="4AC47E1C" w:rsidR="00581DFE" w:rsidRPr="003E4C33" w:rsidRDefault="00581DFE">
            <w:r w:rsidRPr="00581DFE">
              <w:t>Group Finance Director (Section 151 Officer)</w:t>
            </w:r>
          </w:p>
        </w:tc>
        <w:tc>
          <w:tcPr>
            <w:tcW w:w="2268" w:type="dxa"/>
            <w:vAlign w:val="center"/>
          </w:tcPr>
          <w:p w14:paraId="26B724B7" w14:textId="7E3A6B17" w:rsidR="001A1BA1" w:rsidRPr="003E4C33" w:rsidRDefault="68AF55E4">
            <w:r>
              <w:t>05.12.25</w:t>
            </w:r>
          </w:p>
        </w:tc>
      </w:tr>
      <w:tr w:rsidR="001A1BA1" w:rsidRPr="003E4C33" w14:paraId="54CB0EFE" w14:textId="77777777" w:rsidTr="7120C3A0">
        <w:trPr>
          <w:trHeight w:val="834"/>
        </w:trPr>
        <w:tc>
          <w:tcPr>
            <w:tcW w:w="3686" w:type="dxa"/>
          </w:tcPr>
          <w:p w14:paraId="658FE63C" w14:textId="657649B8" w:rsidR="001A1BA1" w:rsidRPr="003E4C33" w:rsidRDefault="00C56120">
            <w:pPr>
              <w:spacing w:before="120"/>
              <w:rPr>
                <w:b/>
              </w:rPr>
            </w:pPr>
            <w:r>
              <w:rPr>
                <w:b/>
              </w:rPr>
              <w:t>Director of Law, Governance and Strategy</w:t>
            </w:r>
          </w:p>
          <w:p w14:paraId="5C806B41" w14:textId="331E973A" w:rsidR="001A1BA1" w:rsidRPr="003E4C33" w:rsidRDefault="001A1BA1">
            <w:pPr>
              <w:spacing w:before="120"/>
            </w:pPr>
          </w:p>
        </w:tc>
        <w:tc>
          <w:tcPr>
            <w:tcW w:w="3969" w:type="dxa"/>
            <w:vAlign w:val="center"/>
          </w:tcPr>
          <w:p w14:paraId="41C63292" w14:textId="77777777" w:rsidR="001A1BA1" w:rsidRDefault="007549EA">
            <w:r>
              <w:t>Emma Jackman</w:t>
            </w:r>
          </w:p>
          <w:p w14:paraId="459F8630" w14:textId="05D2ACC2" w:rsidR="00581DFE" w:rsidRPr="003E4C33" w:rsidRDefault="00581DFE">
            <w:r w:rsidRPr="00581DFE">
              <w:t>Director of Law, Governance and Strategy (Monitoring Officer)</w:t>
            </w:r>
          </w:p>
        </w:tc>
        <w:tc>
          <w:tcPr>
            <w:tcW w:w="2268" w:type="dxa"/>
          </w:tcPr>
          <w:p w14:paraId="15D0DAEA" w14:textId="0CB86A14" w:rsidR="001A1BA1" w:rsidRPr="003E4C33" w:rsidRDefault="001A1BA1"/>
          <w:p w14:paraId="13EBB6A8" w14:textId="7AE67A4F" w:rsidR="001A1BA1" w:rsidRPr="003E4C33" w:rsidRDefault="336EA5DC">
            <w:r>
              <w:t>05.12.25</w:t>
            </w:r>
          </w:p>
        </w:tc>
      </w:tr>
      <w:tr w:rsidR="001A1BA1" w:rsidRPr="003E4C33" w14:paraId="266E8AC6" w14:textId="77777777" w:rsidTr="7120C3A0">
        <w:trPr>
          <w:trHeight w:val="562"/>
        </w:trPr>
        <w:tc>
          <w:tcPr>
            <w:tcW w:w="3686" w:type="dxa"/>
            <w:vAlign w:val="center"/>
          </w:tcPr>
          <w:p w14:paraId="0D0AF673" w14:textId="77777777" w:rsidR="001A1BA1" w:rsidRPr="003E4C33" w:rsidRDefault="001A1BA1">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3969" w:type="dxa"/>
            <w:vAlign w:val="center"/>
          </w:tcPr>
          <w:p w14:paraId="63A34A59" w14:textId="77777777" w:rsidR="001A1BA1" w:rsidRDefault="002D0B16">
            <w:r>
              <w:t xml:space="preserve">Cllr </w:t>
            </w:r>
            <w:r w:rsidR="00E30E07">
              <w:t>Linda Smith</w:t>
            </w:r>
          </w:p>
          <w:p w14:paraId="47B4B0BF" w14:textId="7784A035" w:rsidR="007661B9" w:rsidRPr="003E4C33" w:rsidRDefault="007661B9">
            <w:r w:rsidRPr="007661B9">
              <w:t>Cabinet Member for Housing and Communitie</w:t>
            </w:r>
            <w:r w:rsidR="00B513DA">
              <w:t>s</w:t>
            </w:r>
          </w:p>
        </w:tc>
        <w:tc>
          <w:tcPr>
            <w:tcW w:w="2268" w:type="dxa"/>
            <w:vAlign w:val="center"/>
          </w:tcPr>
          <w:p w14:paraId="79ED7A02" w14:textId="34D1D743" w:rsidR="001A1BA1" w:rsidRPr="003E4C33" w:rsidRDefault="79A97A22">
            <w:r>
              <w:t>05.12.2025</w:t>
            </w:r>
          </w:p>
        </w:tc>
      </w:tr>
      <w:tr w:rsidR="00BA4BE5" w:rsidRPr="003E4C33" w14:paraId="789A1406" w14:textId="77777777" w:rsidTr="7120C3A0">
        <w:trPr>
          <w:trHeight w:val="562"/>
        </w:trPr>
        <w:tc>
          <w:tcPr>
            <w:tcW w:w="3686" w:type="dxa"/>
          </w:tcPr>
          <w:p w14:paraId="079F86E6" w14:textId="7AAAD218" w:rsidR="00BA4BE5" w:rsidRPr="003E4C33" w:rsidRDefault="00BA4BE5" w:rsidP="00BA4BE5">
            <w:pPr>
              <w:spacing w:before="120"/>
            </w:pPr>
            <w:r w:rsidRPr="0028558B">
              <w:rPr>
                <w:b/>
              </w:rPr>
              <w:t>Cabinet Member(s)</w:t>
            </w:r>
          </w:p>
        </w:tc>
        <w:tc>
          <w:tcPr>
            <w:tcW w:w="3969" w:type="dxa"/>
            <w:vAlign w:val="center"/>
          </w:tcPr>
          <w:p w14:paraId="6CF2A5A7" w14:textId="77777777" w:rsidR="00581DFE" w:rsidRDefault="00581DFE" w:rsidP="00BA4BE5">
            <w:r w:rsidRPr="00581DFE">
              <w:t xml:space="preserve">Councillor Ed Turner </w:t>
            </w:r>
          </w:p>
          <w:p w14:paraId="0E06D3A4" w14:textId="18616F2C" w:rsidR="00BA4BE5" w:rsidRPr="003E4C33" w:rsidRDefault="00BA4BE5" w:rsidP="00BA4BE5">
            <w:r w:rsidRPr="00BA4BE5">
              <w:t>Cabinet Member for Finance and Asset Management</w:t>
            </w:r>
          </w:p>
        </w:tc>
        <w:tc>
          <w:tcPr>
            <w:tcW w:w="2268" w:type="dxa"/>
            <w:vAlign w:val="center"/>
          </w:tcPr>
          <w:p w14:paraId="36F1E2E4" w14:textId="1416976F" w:rsidR="00BA4BE5" w:rsidRPr="003E4C33" w:rsidRDefault="0751F46F" w:rsidP="00BA4BE5">
            <w:r>
              <w:t>08.</w:t>
            </w:r>
            <w:r w:rsidR="2B0F1158">
              <w:t>12</w:t>
            </w:r>
            <w:r>
              <w:t>.2025</w:t>
            </w:r>
          </w:p>
        </w:tc>
      </w:tr>
      <w:tr w:rsidR="00BA4BE5" w:rsidRPr="003E4C33" w14:paraId="1E6C0AD7" w14:textId="77777777" w:rsidTr="7120C3A0">
        <w:trPr>
          <w:trHeight w:val="562"/>
        </w:trPr>
        <w:tc>
          <w:tcPr>
            <w:tcW w:w="3686" w:type="dxa"/>
          </w:tcPr>
          <w:p w14:paraId="653D7BCF" w14:textId="41DB76A1" w:rsidR="00BA4BE5" w:rsidRPr="003E4C33" w:rsidRDefault="00BA4BE5" w:rsidP="00BA4BE5">
            <w:pPr>
              <w:spacing w:before="120"/>
              <w:rPr>
                <w:b/>
              </w:rPr>
            </w:pPr>
            <w:r w:rsidRPr="0028558B">
              <w:rPr>
                <w:b/>
              </w:rPr>
              <w:t>Cabinet Member(s)</w:t>
            </w:r>
          </w:p>
        </w:tc>
        <w:tc>
          <w:tcPr>
            <w:tcW w:w="3969" w:type="dxa"/>
            <w:vAlign w:val="center"/>
          </w:tcPr>
          <w:p w14:paraId="01CC5ACD" w14:textId="77777777" w:rsidR="00581DFE" w:rsidRDefault="00581DFE" w:rsidP="00BA4BE5">
            <w:r w:rsidRPr="00581DFE">
              <w:t xml:space="preserve">Councillor Nigel Chapman </w:t>
            </w:r>
          </w:p>
          <w:p w14:paraId="02C38DF8" w14:textId="08821781" w:rsidR="00BA4BE5" w:rsidRPr="003E4C33" w:rsidRDefault="00BA4BE5" w:rsidP="00BA4BE5">
            <w:r w:rsidRPr="00BA4BE5">
              <w:t>Cabinet Member for Citizen Focused Services and Council Companies</w:t>
            </w:r>
          </w:p>
        </w:tc>
        <w:tc>
          <w:tcPr>
            <w:tcW w:w="2268" w:type="dxa"/>
            <w:vAlign w:val="center"/>
          </w:tcPr>
          <w:p w14:paraId="232A0770" w14:textId="09D5D3CD" w:rsidR="00BA4BE5" w:rsidRPr="003E4C33" w:rsidRDefault="1DDB0F5D" w:rsidP="00BA4BE5">
            <w:r>
              <w:t>08.</w:t>
            </w:r>
            <w:r w:rsidR="1622689C">
              <w:t>12</w:t>
            </w:r>
            <w:r>
              <w:t>.2025</w:t>
            </w:r>
          </w:p>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lastRenderedPageBreak/>
        <w:t>Decision Maker Approval</w:t>
      </w:r>
    </w:p>
    <w:tbl>
      <w:tblPr>
        <w:tblStyle w:val="TableGrid1"/>
        <w:tblW w:w="9923" w:type="dxa"/>
        <w:tblInd w:w="-5" w:type="dxa"/>
        <w:tblLook w:val="04A0" w:firstRow="1" w:lastRow="0" w:firstColumn="1" w:lastColumn="0" w:noHBand="0" w:noVBand="1"/>
      </w:tblPr>
      <w:tblGrid>
        <w:gridCol w:w="4253"/>
        <w:gridCol w:w="5670"/>
      </w:tblGrid>
      <w:tr w:rsidR="0BC4DFF5" w:rsidRPr="003E4C33" w14:paraId="56628C58" w14:textId="77777777" w:rsidTr="00B513DA">
        <w:trPr>
          <w:trHeight w:val="300"/>
        </w:trPr>
        <w:tc>
          <w:tcPr>
            <w:tcW w:w="4253" w:type="dxa"/>
            <w:vAlign w:val="center"/>
          </w:tcPr>
          <w:p w14:paraId="0E828CBD" w14:textId="77777777" w:rsidR="0BC4DFF5" w:rsidRPr="003E4C33" w:rsidRDefault="0BC4DFF5" w:rsidP="0BC4DFF5">
            <w:pPr>
              <w:rPr>
                <w:b/>
                <w:bCs/>
                <w:i/>
                <w:iCs/>
              </w:rPr>
            </w:pPr>
            <w:r w:rsidRPr="003E4C33">
              <w:rPr>
                <w:b/>
                <w:bCs/>
                <w:i/>
                <w:iCs/>
              </w:rPr>
              <w:t>Name and job title</w:t>
            </w:r>
          </w:p>
        </w:tc>
        <w:tc>
          <w:tcPr>
            <w:tcW w:w="5670"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0B513DA">
        <w:trPr>
          <w:trHeight w:val="300"/>
        </w:trPr>
        <w:tc>
          <w:tcPr>
            <w:tcW w:w="4253" w:type="dxa"/>
            <w:vAlign w:val="center"/>
          </w:tcPr>
          <w:p w14:paraId="249841EC" w14:textId="0A111400" w:rsidR="0BC4DFF5" w:rsidRPr="00C55247" w:rsidRDefault="2BAD4CEF">
            <w:r w:rsidRPr="7CB39464">
              <w:rPr>
                <w:color w:val="auto"/>
              </w:rPr>
              <w:t xml:space="preserve">Tom Bridgeman </w:t>
            </w:r>
            <w:r w:rsidR="0BC4DFF5">
              <w:br/>
            </w:r>
            <w:r w:rsidRPr="7CB39464">
              <w:rPr>
                <w:color w:val="auto"/>
              </w:rPr>
              <w:t xml:space="preserve">Deputy Chief Executive - Place  </w:t>
            </w:r>
          </w:p>
        </w:tc>
        <w:tc>
          <w:tcPr>
            <w:tcW w:w="5670" w:type="dxa"/>
            <w:vAlign w:val="center"/>
          </w:tcPr>
          <w:p w14:paraId="32E398AB" w14:textId="7A6F60EB" w:rsidR="00CB7A4F" w:rsidRPr="003E4C33" w:rsidRDefault="67455B2D">
            <w:r>
              <w:rPr>
                <w:noProof/>
              </w:rPr>
              <w:drawing>
                <wp:inline distT="0" distB="0" distL="0" distR="0" wp14:anchorId="69F0D400" wp14:editId="6A1D7C95">
                  <wp:extent cx="1579001" cy="768163"/>
                  <wp:effectExtent l="0" t="0" r="0" b="0"/>
                  <wp:docPr id="457757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5785" name="Picture 45775785"/>
                          <pic:cNvPicPr/>
                        </pic:nvPicPr>
                        <pic:blipFill>
                          <a:blip r:embed="rId14">
                            <a:extLst>
                              <a:ext uri="{28A0092B-C50C-407E-A947-70E740481C1C}">
                                <a14:useLocalDpi xmlns:a14="http://schemas.microsoft.com/office/drawing/2010/main"/>
                              </a:ext>
                            </a:extLst>
                          </a:blip>
                          <a:stretch>
                            <a:fillRect/>
                          </a:stretch>
                        </pic:blipFill>
                        <pic:spPr>
                          <a:xfrm>
                            <a:off x="0" y="0"/>
                            <a:ext cx="1579001" cy="768163"/>
                          </a:xfrm>
                          <a:prstGeom prst="rect">
                            <a:avLst/>
                          </a:prstGeom>
                        </pic:spPr>
                      </pic:pic>
                    </a:graphicData>
                  </a:graphic>
                </wp:inline>
              </w:drawing>
            </w:r>
            <w:r>
              <w:t>10/12/2025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68E107DB">
        <w:rPr>
          <w:rFonts w:cs="Arial"/>
        </w:rPr>
        <w:t xml:space="preserve">This form must be completed and sent to Committee and Member Services </w:t>
      </w:r>
      <w:r w:rsidR="0A996ACD" w:rsidRPr="68E107DB">
        <w:rPr>
          <w:rFonts w:cs="Arial"/>
          <w:b/>
          <w:bCs/>
        </w:rPr>
        <w:t xml:space="preserve">on the date that the decision maker signs it. This must be only done once all consultees have given their approval. </w:t>
      </w:r>
      <w:r w:rsidR="00354567" w:rsidRPr="68E107DB">
        <w:rPr>
          <w:rFonts w:cs="Arial"/>
          <w:b/>
          <w:bCs/>
        </w:rPr>
        <w:t xml:space="preserve"> The decision shall be effective from the date of </w:t>
      </w:r>
      <w:r w:rsidR="395C47E3" w:rsidRPr="68E107DB">
        <w:rPr>
          <w:rFonts w:cs="Arial"/>
          <w:b/>
          <w:bCs/>
        </w:rPr>
        <w:t>publication;</w:t>
      </w:r>
      <w:r w:rsidR="7126238E" w:rsidRPr="68E107DB">
        <w:rPr>
          <w:rFonts w:cs="Arial"/>
          <w:b/>
          <w:bCs/>
        </w:rPr>
        <w:t xml:space="preserve"> </w:t>
      </w:r>
      <w:r w:rsidR="4E780D21" w:rsidRPr="68E107DB">
        <w:rPr>
          <w:rFonts w:cs="Arial"/>
          <w:b/>
          <w:bCs/>
        </w:rPr>
        <w:t>therefore,</w:t>
      </w:r>
      <w:r w:rsidR="7126238E" w:rsidRPr="68E107DB">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68E107DB">
        <w:rPr>
          <w:rFonts w:cs="Arial"/>
          <w:b/>
          <w:bCs/>
        </w:rPr>
        <w:t>call in</w:t>
      </w:r>
      <w:proofErr w:type="gramEnd"/>
      <w:r w:rsidR="7126238E" w:rsidRPr="68E107DB">
        <w:rPr>
          <w:rFonts w:cs="Arial"/>
          <w:b/>
          <w:bCs/>
        </w:rPr>
        <w:t xml:space="preserve"> period has passed. </w:t>
      </w: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2"/>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2A3E9E">
      <w:pPr>
        <w:numPr>
          <w:ilvl w:val="0"/>
          <w:numId w:val="9"/>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2A3E9E">
      <w:pPr>
        <w:numPr>
          <w:ilvl w:val="0"/>
          <w:numId w:val="9"/>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2A3E9E">
      <w:pPr>
        <w:pStyle w:val="dBulletpoints"/>
        <w:numPr>
          <w:ilvl w:val="1"/>
          <w:numId w:val="9"/>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2A3E9E">
      <w:pPr>
        <w:pStyle w:val="dBulletpoints"/>
        <w:numPr>
          <w:ilvl w:val="1"/>
          <w:numId w:val="9"/>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2A3E9E">
      <w:pPr>
        <w:pStyle w:val="dBulletpoints"/>
        <w:numPr>
          <w:ilvl w:val="1"/>
          <w:numId w:val="9"/>
        </w:numPr>
        <w:rPr>
          <w:rFonts w:cs="Arial"/>
        </w:rPr>
      </w:pPr>
      <w:r w:rsidRPr="003E4C33">
        <w:rPr>
          <w:rFonts w:cs="Arial"/>
        </w:rPr>
        <w:t xml:space="preserve">Making a regulatory order which affects </w:t>
      </w:r>
      <w:proofErr w:type="gramStart"/>
      <w:r w:rsidRPr="003E4C33">
        <w:rPr>
          <w:rFonts w:cs="Arial"/>
        </w:rPr>
        <w:t>a number of</w:t>
      </w:r>
      <w:proofErr w:type="gramEnd"/>
      <w:r w:rsidRPr="003E4C33">
        <w:rPr>
          <w:rFonts w:cs="Arial"/>
        </w:rPr>
        <w:t xml:space="preserve"> people, for example a Public Space Protection Order or a Parking Place Order</w:t>
      </w:r>
    </w:p>
    <w:p w14:paraId="648D7ED8" w14:textId="77777777" w:rsidR="009D7080" w:rsidRPr="003E4C33" w:rsidRDefault="009D7080" w:rsidP="002A3E9E">
      <w:pPr>
        <w:pStyle w:val="dBulletpoints"/>
        <w:numPr>
          <w:ilvl w:val="1"/>
          <w:numId w:val="9"/>
        </w:numPr>
        <w:rPr>
          <w:rFonts w:cs="Arial"/>
        </w:rPr>
      </w:pPr>
      <w:r w:rsidRPr="003E4C33">
        <w:rPr>
          <w:rFonts w:cs="Arial"/>
        </w:rPr>
        <w:t xml:space="preserve">Where the effect of a decision is to grant a licence or </w:t>
      </w:r>
      <w:proofErr w:type="gramStart"/>
      <w:r w:rsidRPr="003E4C33">
        <w:rPr>
          <w:rFonts w:cs="Arial"/>
        </w:rPr>
        <w:t>permission</w:t>
      </w:r>
      <w:proofErr w:type="gramEnd"/>
      <w:r w:rsidRPr="003E4C33">
        <w:rPr>
          <w:rFonts w:cs="Arial"/>
        </w:rPr>
        <w:t xml:space="preserve"> or it affects the rights of citizens</w:t>
      </w:r>
    </w:p>
    <w:p w14:paraId="23481E3B" w14:textId="77777777" w:rsidR="009D7080" w:rsidRPr="003E4C33" w:rsidRDefault="009D7080" w:rsidP="002A3E9E">
      <w:pPr>
        <w:pStyle w:val="dBulletpoints"/>
        <w:numPr>
          <w:ilvl w:val="1"/>
          <w:numId w:val="9"/>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3" w:name="_bookmark0"/>
      <w:bookmarkEnd w:id="3"/>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2A3E9E">
      <w:pPr>
        <w:numPr>
          <w:ilvl w:val="0"/>
          <w:numId w:val="10"/>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2A3E9E">
      <w:pPr>
        <w:numPr>
          <w:ilvl w:val="0"/>
          <w:numId w:val="10"/>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 xml:space="preserve">They must though be stored </w:t>
      </w:r>
      <w:proofErr w:type="gramStart"/>
      <w:r w:rsidR="3D3B0069" w:rsidRPr="003E4C33">
        <w:rPr>
          <w:rFonts w:cs="Arial"/>
        </w:rPr>
        <w:t>so as to</w:t>
      </w:r>
      <w:proofErr w:type="gramEnd"/>
      <w:r w:rsidR="3D3B0069" w:rsidRPr="003E4C33">
        <w:rPr>
          <w:rFonts w:cs="Arial"/>
        </w:rPr>
        <w:t xml:space="preserve">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3EAF71D7" w14:textId="2127338B" w:rsidR="001A1BA1" w:rsidRPr="003E4C33" w:rsidRDefault="001A1BA1" w:rsidP="68E107DB">
      <w:pPr>
        <w:rPr>
          <w:rFonts w:cs="Arial"/>
          <w:b/>
          <w:bCs/>
        </w:rPr>
      </w:pPr>
      <w:r w:rsidRPr="68E107DB">
        <w:rPr>
          <w:rFonts w:cs="Arial"/>
        </w:rPr>
        <w:t xml:space="preserve">Information relating to a delegated officer </w:t>
      </w:r>
      <w:r w:rsidR="086B0F04" w:rsidRPr="68E107DB">
        <w:rPr>
          <w:rFonts w:cs="Arial"/>
        </w:rPr>
        <w:t xml:space="preserve">or single member </w:t>
      </w:r>
      <w:r w:rsidRPr="68E107DB">
        <w:rPr>
          <w:rFonts w:cs="Arial"/>
        </w:rPr>
        <w:t>decision does not have to be made public if it is exempt or confidential. Summary information from this decision sheet (excluding all exempt or confidential information) will be published on the Council’s website.</w:t>
      </w:r>
    </w:p>
    <w:p w14:paraId="50260EA2" w14:textId="5AB9ABF5" w:rsidR="001A1BA1" w:rsidRPr="003E4C33" w:rsidRDefault="001A1BA1" w:rsidP="68E107DB">
      <w:pPr>
        <w:rPr>
          <w:rFonts w:cs="Arial"/>
          <w:b/>
          <w:bCs/>
        </w:rPr>
      </w:pPr>
      <w:r w:rsidRPr="68E107DB">
        <w:rPr>
          <w:rFonts w:cs="Arial"/>
          <w:b/>
          <w:bCs/>
        </w:rPr>
        <w:t xml:space="preserve">Key or </w:t>
      </w:r>
      <w:proofErr w:type="gramStart"/>
      <w:r w:rsidRPr="68E107DB">
        <w:rPr>
          <w:rFonts w:cs="Arial"/>
          <w:b/>
          <w:bCs/>
        </w:rPr>
        <w:t>Non Key</w:t>
      </w:r>
      <w:proofErr w:type="gramEnd"/>
      <w:r w:rsidRPr="68E107DB">
        <w:rPr>
          <w:rFonts w:cs="Arial"/>
          <w:b/>
          <w:bCs/>
        </w:rPr>
        <w:t xml:space="preserve"> Decision</w:t>
      </w: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A3E9E">
      <w:pPr>
        <w:pStyle w:val="dBulletpoints"/>
        <w:numPr>
          <w:ilvl w:val="1"/>
          <w:numId w:val="3"/>
        </w:numPr>
        <w:tabs>
          <w:tab w:val="clear" w:pos="1418"/>
        </w:tabs>
        <w:ind w:left="2268" w:hanging="567"/>
        <w:rPr>
          <w:rFonts w:cs="Arial"/>
        </w:rPr>
      </w:pPr>
      <w:r w:rsidRPr="003E4C33">
        <w:rPr>
          <w:rFonts w:cs="Arial"/>
        </w:rPr>
        <w:lastRenderedPageBreak/>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A3E9E">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A3E9E">
      <w:pPr>
        <w:pStyle w:val="dBulletpoints"/>
        <w:numPr>
          <w:ilvl w:val="1"/>
          <w:numId w:val="3"/>
        </w:numPr>
        <w:tabs>
          <w:tab w:val="clear" w:pos="1418"/>
        </w:tabs>
        <w:ind w:left="2268" w:hanging="567"/>
        <w:rPr>
          <w:rFonts w:cs="Arial"/>
        </w:rPr>
      </w:pPr>
      <w:r w:rsidRPr="003E4C33">
        <w:rPr>
          <w:rFonts w:cs="Arial"/>
        </w:rPr>
        <w:t xml:space="preserve">Acquiring or disposing of leaseholds where either the rental value is </w:t>
      </w:r>
      <w:proofErr w:type="gramStart"/>
      <w:r w:rsidRPr="003E4C33">
        <w:rPr>
          <w:rFonts w:cs="Arial"/>
        </w:rPr>
        <w:t>in excess of</w:t>
      </w:r>
      <w:proofErr w:type="gramEnd"/>
      <w:r w:rsidRPr="003E4C33">
        <w:rPr>
          <w:rFonts w:cs="Arial"/>
        </w:rPr>
        <w:t xml:space="preserve">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A3E9E">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p w14:paraId="66CE8A5C" w14:textId="532EC2FF" w:rsidR="68E107DB" w:rsidRDefault="68E107DB">
      <w:pPr>
        <w:sectPr w:rsidR="68E107DB" w:rsidSect="005D3845">
          <w:footerReference w:type="first" r:id="rId15"/>
          <w:pgSz w:w="11906" w:h="16838" w:code="9"/>
          <w:pgMar w:top="1057" w:right="709" w:bottom="851" w:left="1304" w:header="284" w:footer="680" w:gutter="0"/>
          <w:cols w:space="708"/>
          <w:titlePg/>
          <w:docGrid w:linePitch="360"/>
        </w:sectPr>
      </w:pPr>
      <w:r>
        <w:br w:type="page"/>
      </w:r>
    </w:p>
    <w:p w14:paraId="10EE4B28" w14:textId="6CD76244" w:rsidR="2600E22C" w:rsidRDefault="2600E22C" w:rsidP="2600E22C">
      <w:pPr>
        <w:rPr>
          <w:rFonts w:ascii="Helvetica" w:hAnsi="Helvetica" w:cs="Helvetica"/>
          <w:b/>
          <w:bCs/>
        </w:rPr>
        <w:sectPr w:rsidR="2600E22C" w:rsidSect="00C30765">
          <w:pgSz w:w="11906" w:h="16838" w:code="9"/>
          <w:pgMar w:top="1057" w:right="709" w:bottom="709" w:left="1304" w:header="284" w:footer="680" w:gutter="0"/>
          <w:cols w:space="708"/>
          <w:titlePg/>
          <w:docGrid w:linePitch="360"/>
        </w:sectPr>
      </w:pPr>
    </w:p>
    <w:p w14:paraId="4FDC5390" w14:textId="1BA4E1F4" w:rsidR="2600E22C" w:rsidRDefault="2600E22C" w:rsidP="2600E22C">
      <w:pPr>
        <w:spacing w:line="259" w:lineRule="auto"/>
      </w:pPr>
    </w:p>
    <w:sectPr w:rsidR="2600E22C" w:rsidSect="00435AC3">
      <w:pgSz w:w="11906" w:h="16838" w:code="9"/>
      <w:pgMar w:top="1057" w:right="1304" w:bottom="709" w:left="1304" w:header="28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55C3" w14:textId="77777777" w:rsidR="008619AD" w:rsidRDefault="008619AD" w:rsidP="004A6D2F">
      <w:r>
        <w:separator/>
      </w:r>
    </w:p>
  </w:endnote>
  <w:endnote w:type="continuationSeparator" w:id="0">
    <w:p w14:paraId="66404F0F" w14:textId="77777777" w:rsidR="008619AD" w:rsidRDefault="008619AD" w:rsidP="004A6D2F">
      <w:r>
        <w:continuationSeparator/>
      </w:r>
    </w:p>
  </w:endnote>
  <w:endnote w:type="continuationNotice" w:id="1">
    <w:p w14:paraId="624BB6D8" w14:textId="77777777" w:rsidR="008619AD" w:rsidRDefault="008619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D6ED" w14:textId="77777777" w:rsidR="005B7471" w:rsidRDefault="005B7471" w:rsidP="005B7471">
    <w:pPr>
      <w:pStyle w:val="Footer"/>
      <w:tabs>
        <w:tab w:val="clear" w:pos="4153"/>
        <w:tab w:val="clear" w:pos="8306"/>
        <w:tab w:val="left" w:pos="232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954F" w14:textId="77777777" w:rsidR="008619AD" w:rsidRDefault="008619AD" w:rsidP="004A6D2F">
      <w:r>
        <w:separator/>
      </w:r>
    </w:p>
  </w:footnote>
  <w:footnote w:type="continuationSeparator" w:id="0">
    <w:p w14:paraId="79C4FAB6" w14:textId="77777777" w:rsidR="008619AD" w:rsidRDefault="008619AD" w:rsidP="004A6D2F">
      <w:r>
        <w:continuationSeparator/>
      </w:r>
    </w:p>
  </w:footnote>
  <w:footnote w:type="continuationNotice" w:id="1">
    <w:p w14:paraId="020DEB78" w14:textId="77777777" w:rsidR="008619AD" w:rsidRDefault="008619AD">
      <w:pPr>
        <w:spacing w:after="0"/>
      </w:pPr>
    </w:p>
  </w:footnote>
  <w:footnote w:id="2">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FA56E3"/>
    <w:multiLevelType w:val="hybridMultilevel"/>
    <w:tmpl w:val="3B6CF2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F56A14"/>
    <w:multiLevelType w:val="hybridMultilevel"/>
    <w:tmpl w:val="AEE04B8A"/>
    <w:lvl w:ilvl="0" w:tplc="4FA023FA">
      <w:start w:val="1"/>
      <w:numFmt w:val="decimal"/>
      <w:lvlText w:val="%1."/>
      <w:lvlJc w:val="left"/>
      <w:pPr>
        <w:ind w:left="360" w:hanging="360"/>
      </w:pPr>
    </w:lvl>
    <w:lvl w:ilvl="1" w:tplc="8E2EE96C">
      <w:start w:val="1"/>
      <w:numFmt w:val="lowerLetter"/>
      <w:lvlText w:val="%2."/>
      <w:lvlJc w:val="left"/>
      <w:pPr>
        <w:ind w:left="1080" w:hanging="360"/>
      </w:pPr>
    </w:lvl>
    <w:lvl w:ilvl="2" w:tplc="8B443478">
      <w:start w:val="1"/>
      <w:numFmt w:val="lowerRoman"/>
      <w:lvlText w:val="%3."/>
      <w:lvlJc w:val="right"/>
      <w:pPr>
        <w:ind w:left="1800" w:hanging="180"/>
      </w:pPr>
    </w:lvl>
    <w:lvl w:ilvl="3" w:tplc="4EAEDB76">
      <w:start w:val="1"/>
      <w:numFmt w:val="decimal"/>
      <w:lvlText w:val="%4."/>
      <w:lvlJc w:val="left"/>
      <w:pPr>
        <w:ind w:left="2520" w:hanging="360"/>
      </w:pPr>
    </w:lvl>
    <w:lvl w:ilvl="4" w:tplc="BEC08788">
      <w:start w:val="1"/>
      <w:numFmt w:val="lowerLetter"/>
      <w:lvlText w:val="%5."/>
      <w:lvlJc w:val="left"/>
      <w:pPr>
        <w:ind w:left="3240" w:hanging="360"/>
      </w:pPr>
    </w:lvl>
    <w:lvl w:ilvl="5" w:tplc="02AAB244">
      <w:start w:val="1"/>
      <w:numFmt w:val="lowerRoman"/>
      <w:lvlText w:val="%6."/>
      <w:lvlJc w:val="right"/>
      <w:pPr>
        <w:ind w:left="3960" w:hanging="180"/>
      </w:pPr>
    </w:lvl>
    <w:lvl w:ilvl="6" w:tplc="6204B722">
      <w:start w:val="1"/>
      <w:numFmt w:val="decimal"/>
      <w:lvlText w:val="%7."/>
      <w:lvlJc w:val="left"/>
      <w:pPr>
        <w:ind w:left="4680" w:hanging="360"/>
      </w:pPr>
    </w:lvl>
    <w:lvl w:ilvl="7" w:tplc="4198F2AA">
      <w:start w:val="1"/>
      <w:numFmt w:val="lowerLetter"/>
      <w:lvlText w:val="%8."/>
      <w:lvlJc w:val="left"/>
      <w:pPr>
        <w:ind w:left="5400" w:hanging="360"/>
      </w:pPr>
    </w:lvl>
    <w:lvl w:ilvl="8" w:tplc="219A9DAC">
      <w:start w:val="1"/>
      <w:numFmt w:val="lowerRoman"/>
      <w:lvlText w:val="%9."/>
      <w:lvlJc w:val="right"/>
      <w:pPr>
        <w:ind w:left="6120" w:hanging="180"/>
      </w:pPr>
    </w:lvl>
  </w:abstractNum>
  <w:abstractNum w:abstractNumId="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22F1A1"/>
    <w:multiLevelType w:val="hybridMultilevel"/>
    <w:tmpl w:val="FFFFFFFF"/>
    <w:lvl w:ilvl="0" w:tplc="EF8691EA">
      <w:start w:val="1"/>
      <w:numFmt w:val="decimal"/>
      <w:lvlText w:val="%1."/>
      <w:lvlJc w:val="left"/>
      <w:pPr>
        <w:ind w:left="720" w:hanging="360"/>
      </w:pPr>
    </w:lvl>
    <w:lvl w:ilvl="1" w:tplc="39C6ED60">
      <w:start w:val="1"/>
      <w:numFmt w:val="lowerLetter"/>
      <w:lvlText w:val="%2."/>
      <w:lvlJc w:val="left"/>
      <w:pPr>
        <w:ind w:left="1440" w:hanging="360"/>
      </w:pPr>
    </w:lvl>
    <w:lvl w:ilvl="2" w:tplc="22C415B0">
      <w:start w:val="1"/>
      <w:numFmt w:val="lowerRoman"/>
      <w:lvlText w:val="%3."/>
      <w:lvlJc w:val="right"/>
      <w:pPr>
        <w:ind w:left="2160" w:hanging="180"/>
      </w:pPr>
    </w:lvl>
    <w:lvl w:ilvl="3" w:tplc="74D0DE82">
      <w:start w:val="1"/>
      <w:numFmt w:val="decimal"/>
      <w:lvlText w:val="%4."/>
      <w:lvlJc w:val="left"/>
      <w:pPr>
        <w:ind w:left="2880" w:hanging="360"/>
      </w:pPr>
    </w:lvl>
    <w:lvl w:ilvl="4" w:tplc="CDCA6220">
      <w:start w:val="1"/>
      <w:numFmt w:val="lowerLetter"/>
      <w:lvlText w:val="%5."/>
      <w:lvlJc w:val="left"/>
      <w:pPr>
        <w:ind w:left="3600" w:hanging="360"/>
      </w:pPr>
    </w:lvl>
    <w:lvl w:ilvl="5" w:tplc="E8D25712">
      <w:start w:val="1"/>
      <w:numFmt w:val="lowerRoman"/>
      <w:lvlText w:val="%6."/>
      <w:lvlJc w:val="right"/>
      <w:pPr>
        <w:ind w:left="4320" w:hanging="180"/>
      </w:pPr>
    </w:lvl>
    <w:lvl w:ilvl="6" w:tplc="CBD67D84">
      <w:start w:val="1"/>
      <w:numFmt w:val="decimal"/>
      <w:lvlText w:val="%7."/>
      <w:lvlJc w:val="left"/>
      <w:pPr>
        <w:ind w:left="5040" w:hanging="360"/>
      </w:pPr>
    </w:lvl>
    <w:lvl w:ilvl="7" w:tplc="C884137E">
      <w:start w:val="1"/>
      <w:numFmt w:val="lowerLetter"/>
      <w:lvlText w:val="%8."/>
      <w:lvlJc w:val="left"/>
      <w:pPr>
        <w:ind w:left="5760" w:hanging="360"/>
      </w:pPr>
    </w:lvl>
    <w:lvl w:ilvl="8" w:tplc="1A7200A8">
      <w:start w:val="1"/>
      <w:numFmt w:val="lowerRoman"/>
      <w:lvlText w:val="%9."/>
      <w:lvlJc w:val="right"/>
      <w:pPr>
        <w:ind w:left="6480" w:hanging="180"/>
      </w:pPr>
    </w:lvl>
  </w:abstractNum>
  <w:abstractNum w:abstractNumId="10" w15:restartNumberingAfterBreak="0">
    <w:nsid w:val="798365C6"/>
    <w:multiLevelType w:val="multilevel"/>
    <w:tmpl w:val="E67CE66C"/>
    <w:numStyleLink w:val="StyleNumberedLeft0cmHanging075cm"/>
  </w:abstractNum>
  <w:abstractNum w:abstractNumId="11"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259724160">
    <w:abstractNumId w:val="9"/>
  </w:num>
  <w:num w:numId="2" w16cid:durableId="841359748">
    <w:abstractNumId w:val="7"/>
  </w:num>
  <w:num w:numId="3" w16cid:durableId="449398042">
    <w:abstractNumId w:val="6"/>
  </w:num>
  <w:num w:numId="4" w16cid:durableId="1594360626">
    <w:abstractNumId w:val="0"/>
  </w:num>
  <w:num w:numId="5" w16cid:durableId="806975598">
    <w:abstractNumId w:val="10"/>
  </w:num>
  <w:num w:numId="6" w16cid:durableId="1143692141">
    <w:abstractNumId w:val="2"/>
  </w:num>
  <w:num w:numId="7" w16cid:durableId="290284048">
    <w:abstractNumId w:val="1"/>
  </w:num>
  <w:num w:numId="8" w16cid:durableId="637807967">
    <w:abstractNumId w:val="8"/>
  </w:num>
  <w:num w:numId="9" w16cid:durableId="1819808808">
    <w:abstractNumId w:val="4"/>
  </w:num>
  <w:num w:numId="10" w16cid:durableId="840047793">
    <w:abstractNumId w:val="5"/>
  </w:num>
  <w:num w:numId="11" w16cid:durableId="1311447890">
    <w:abstractNumId w:val="11"/>
  </w:num>
  <w:num w:numId="12" w16cid:durableId="27710820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17026"/>
    <w:rsid w:val="00020057"/>
    <w:rsid w:val="0002671A"/>
    <w:rsid w:val="000314D7"/>
    <w:rsid w:val="00034054"/>
    <w:rsid w:val="00035499"/>
    <w:rsid w:val="000424B2"/>
    <w:rsid w:val="00045F8B"/>
    <w:rsid w:val="00046D2B"/>
    <w:rsid w:val="00050621"/>
    <w:rsid w:val="00051287"/>
    <w:rsid w:val="000525C7"/>
    <w:rsid w:val="000527CE"/>
    <w:rsid w:val="00053CBF"/>
    <w:rsid w:val="00056263"/>
    <w:rsid w:val="00060DEB"/>
    <w:rsid w:val="0006402B"/>
    <w:rsid w:val="00064C82"/>
    <w:rsid w:val="00064D8A"/>
    <w:rsid w:val="00064F82"/>
    <w:rsid w:val="00066510"/>
    <w:rsid w:val="000745F3"/>
    <w:rsid w:val="00075140"/>
    <w:rsid w:val="00077523"/>
    <w:rsid w:val="0008425C"/>
    <w:rsid w:val="000932DA"/>
    <w:rsid w:val="00093A84"/>
    <w:rsid w:val="00096FAB"/>
    <w:rsid w:val="000A4061"/>
    <w:rsid w:val="000A63EE"/>
    <w:rsid w:val="000B1DFC"/>
    <w:rsid w:val="000C089F"/>
    <w:rsid w:val="000C0C53"/>
    <w:rsid w:val="000C260D"/>
    <w:rsid w:val="000C3928"/>
    <w:rsid w:val="000C51D6"/>
    <w:rsid w:val="000C5E8E"/>
    <w:rsid w:val="000D26EB"/>
    <w:rsid w:val="000D43E6"/>
    <w:rsid w:val="000F146D"/>
    <w:rsid w:val="000F1678"/>
    <w:rsid w:val="000F3861"/>
    <w:rsid w:val="000F3878"/>
    <w:rsid w:val="000F3C13"/>
    <w:rsid w:val="000F4751"/>
    <w:rsid w:val="00100DC3"/>
    <w:rsid w:val="00100F52"/>
    <w:rsid w:val="0010524C"/>
    <w:rsid w:val="00111FB1"/>
    <w:rsid w:val="00113418"/>
    <w:rsid w:val="00117C1C"/>
    <w:rsid w:val="00117E25"/>
    <w:rsid w:val="00124E5C"/>
    <w:rsid w:val="0012543F"/>
    <w:rsid w:val="00125DCA"/>
    <w:rsid w:val="00126361"/>
    <w:rsid w:val="00130ED7"/>
    <w:rsid w:val="001356F1"/>
    <w:rsid w:val="00136994"/>
    <w:rsid w:val="0014128E"/>
    <w:rsid w:val="001449D6"/>
    <w:rsid w:val="00147232"/>
    <w:rsid w:val="00151888"/>
    <w:rsid w:val="001658DA"/>
    <w:rsid w:val="00170A2D"/>
    <w:rsid w:val="00174A5C"/>
    <w:rsid w:val="00176A0B"/>
    <w:rsid w:val="001808BC"/>
    <w:rsid w:val="00182014"/>
    <w:rsid w:val="00182B81"/>
    <w:rsid w:val="00183A40"/>
    <w:rsid w:val="0018619D"/>
    <w:rsid w:val="00186B26"/>
    <w:rsid w:val="001873DF"/>
    <w:rsid w:val="00196DD1"/>
    <w:rsid w:val="001A011E"/>
    <w:rsid w:val="001A066A"/>
    <w:rsid w:val="001A13E6"/>
    <w:rsid w:val="001A1BA1"/>
    <w:rsid w:val="001A5049"/>
    <w:rsid w:val="001A5208"/>
    <w:rsid w:val="001A5731"/>
    <w:rsid w:val="001B42C3"/>
    <w:rsid w:val="001B4AF7"/>
    <w:rsid w:val="001C1039"/>
    <w:rsid w:val="001C2DBE"/>
    <w:rsid w:val="001C5D5E"/>
    <w:rsid w:val="001D678D"/>
    <w:rsid w:val="001E03F8"/>
    <w:rsid w:val="001E0B38"/>
    <w:rsid w:val="001E1678"/>
    <w:rsid w:val="001E3376"/>
    <w:rsid w:val="001E3F45"/>
    <w:rsid w:val="002069B3"/>
    <w:rsid w:val="00226F8A"/>
    <w:rsid w:val="002329CF"/>
    <w:rsid w:val="00232F5B"/>
    <w:rsid w:val="002330D6"/>
    <w:rsid w:val="00241830"/>
    <w:rsid w:val="002431C2"/>
    <w:rsid w:val="002454F5"/>
    <w:rsid w:val="00247C29"/>
    <w:rsid w:val="00255238"/>
    <w:rsid w:val="00260467"/>
    <w:rsid w:val="00263EA3"/>
    <w:rsid w:val="00270E22"/>
    <w:rsid w:val="0027100A"/>
    <w:rsid w:val="00275A23"/>
    <w:rsid w:val="0028179C"/>
    <w:rsid w:val="00282F69"/>
    <w:rsid w:val="00284F85"/>
    <w:rsid w:val="002870C3"/>
    <w:rsid w:val="00290915"/>
    <w:rsid w:val="00294968"/>
    <w:rsid w:val="002A22E2"/>
    <w:rsid w:val="002A31CC"/>
    <w:rsid w:val="002A3E9E"/>
    <w:rsid w:val="002B46A9"/>
    <w:rsid w:val="002B6836"/>
    <w:rsid w:val="002B7EC5"/>
    <w:rsid w:val="002C64F7"/>
    <w:rsid w:val="002D0B16"/>
    <w:rsid w:val="002E33FC"/>
    <w:rsid w:val="002F071E"/>
    <w:rsid w:val="002F39C2"/>
    <w:rsid w:val="002F41F2"/>
    <w:rsid w:val="002F79C5"/>
    <w:rsid w:val="00301BF3"/>
    <w:rsid w:val="0030208D"/>
    <w:rsid w:val="0030442F"/>
    <w:rsid w:val="003157EF"/>
    <w:rsid w:val="00323418"/>
    <w:rsid w:val="003273FD"/>
    <w:rsid w:val="00335437"/>
    <w:rsid w:val="0033565F"/>
    <w:rsid w:val="003357BF"/>
    <w:rsid w:val="0033670B"/>
    <w:rsid w:val="00340B77"/>
    <w:rsid w:val="00345012"/>
    <w:rsid w:val="0035163D"/>
    <w:rsid w:val="00352FB0"/>
    <w:rsid w:val="00354567"/>
    <w:rsid w:val="00360BA7"/>
    <w:rsid w:val="00364FAD"/>
    <w:rsid w:val="0036738F"/>
    <w:rsid w:val="0036759C"/>
    <w:rsid w:val="00367AE5"/>
    <w:rsid w:val="00367D71"/>
    <w:rsid w:val="00372A82"/>
    <w:rsid w:val="0037640E"/>
    <w:rsid w:val="0038150A"/>
    <w:rsid w:val="003827BF"/>
    <w:rsid w:val="00385847"/>
    <w:rsid w:val="00393212"/>
    <w:rsid w:val="003941C3"/>
    <w:rsid w:val="003B6E75"/>
    <w:rsid w:val="003B7DA1"/>
    <w:rsid w:val="003C20B3"/>
    <w:rsid w:val="003D004A"/>
    <w:rsid w:val="003D0379"/>
    <w:rsid w:val="003D2574"/>
    <w:rsid w:val="003D4C59"/>
    <w:rsid w:val="003E30FA"/>
    <w:rsid w:val="003E4C33"/>
    <w:rsid w:val="003E5069"/>
    <w:rsid w:val="003F4267"/>
    <w:rsid w:val="00404032"/>
    <w:rsid w:val="0040474D"/>
    <w:rsid w:val="0040736F"/>
    <w:rsid w:val="00411D77"/>
    <w:rsid w:val="00412C1F"/>
    <w:rsid w:val="00421CB2"/>
    <w:rsid w:val="00424B45"/>
    <w:rsid w:val="004268B9"/>
    <w:rsid w:val="00433B96"/>
    <w:rsid w:val="00435AC3"/>
    <w:rsid w:val="00437B41"/>
    <w:rsid w:val="00442C9D"/>
    <w:rsid w:val="004440F1"/>
    <w:rsid w:val="004442B0"/>
    <w:rsid w:val="004456DD"/>
    <w:rsid w:val="004468A9"/>
    <w:rsid w:val="00446CDF"/>
    <w:rsid w:val="004473C5"/>
    <w:rsid w:val="004521B7"/>
    <w:rsid w:val="004548E0"/>
    <w:rsid w:val="00462AB5"/>
    <w:rsid w:val="00465EAF"/>
    <w:rsid w:val="00470D8A"/>
    <w:rsid w:val="004738C5"/>
    <w:rsid w:val="0047737B"/>
    <w:rsid w:val="00481D23"/>
    <w:rsid w:val="00491046"/>
    <w:rsid w:val="00496078"/>
    <w:rsid w:val="004A2AC7"/>
    <w:rsid w:val="004A39C3"/>
    <w:rsid w:val="004A5AD5"/>
    <w:rsid w:val="004A6D2F"/>
    <w:rsid w:val="004B11AE"/>
    <w:rsid w:val="004C2887"/>
    <w:rsid w:val="004D2626"/>
    <w:rsid w:val="004D6E26"/>
    <w:rsid w:val="004D77D3"/>
    <w:rsid w:val="004E2959"/>
    <w:rsid w:val="004F20EF"/>
    <w:rsid w:val="004F554F"/>
    <w:rsid w:val="0050311D"/>
    <w:rsid w:val="0050321C"/>
    <w:rsid w:val="00506526"/>
    <w:rsid w:val="00507ECC"/>
    <w:rsid w:val="00512370"/>
    <w:rsid w:val="00512551"/>
    <w:rsid w:val="005132C6"/>
    <w:rsid w:val="00515870"/>
    <w:rsid w:val="00523261"/>
    <w:rsid w:val="00531E16"/>
    <w:rsid w:val="005345F5"/>
    <w:rsid w:val="00536175"/>
    <w:rsid w:val="005463C9"/>
    <w:rsid w:val="0054712D"/>
    <w:rsid w:val="00547EF6"/>
    <w:rsid w:val="0055056C"/>
    <w:rsid w:val="005570B5"/>
    <w:rsid w:val="0056111D"/>
    <w:rsid w:val="00566DCF"/>
    <w:rsid w:val="00567E18"/>
    <w:rsid w:val="005728CC"/>
    <w:rsid w:val="00575F5F"/>
    <w:rsid w:val="00576CD0"/>
    <w:rsid w:val="00581805"/>
    <w:rsid w:val="00581DFE"/>
    <w:rsid w:val="00585F76"/>
    <w:rsid w:val="00596ED1"/>
    <w:rsid w:val="005A2D97"/>
    <w:rsid w:val="005A34E4"/>
    <w:rsid w:val="005A6610"/>
    <w:rsid w:val="005B064B"/>
    <w:rsid w:val="005B17F2"/>
    <w:rsid w:val="005B4D78"/>
    <w:rsid w:val="005B6FE2"/>
    <w:rsid w:val="005B704F"/>
    <w:rsid w:val="005B7471"/>
    <w:rsid w:val="005B7FB0"/>
    <w:rsid w:val="005C137C"/>
    <w:rsid w:val="005C35A5"/>
    <w:rsid w:val="005C488E"/>
    <w:rsid w:val="005C577C"/>
    <w:rsid w:val="005D0621"/>
    <w:rsid w:val="005D1E27"/>
    <w:rsid w:val="005D2A3E"/>
    <w:rsid w:val="005D3845"/>
    <w:rsid w:val="005E022E"/>
    <w:rsid w:val="005E1BAF"/>
    <w:rsid w:val="005E2B45"/>
    <w:rsid w:val="005E5215"/>
    <w:rsid w:val="005F6287"/>
    <w:rsid w:val="005F7F7E"/>
    <w:rsid w:val="006009FB"/>
    <w:rsid w:val="006047A1"/>
    <w:rsid w:val="0060541D"/>
    <w:rsid w:val="006131A8"/>
    <w:rsid w:val="00614693"/>
    <w:rsid w:val="00622741"/>
    <w:rsid w:val="00623C2F"/>
    <w:rsid w:val="00630829"/>
    <w:rsid w:val="00630C1B"/>
    <w:rsid w:val="00633578"/>
    <w:rsid w:val="0063408C"/>
    <w:rsid w:val="00635E3E"/>
    <w:rsid w:val="00637068"/>
    <w:rsid w:val="006419CA"/>
    <w:rsid w:val="006505E5"/>
    <w:rsid w:val="00650811"/>
    <w:rsid w:val="00661D3E"/>
    <w:rsid w:val="00666058"/>
    <w:rsid w:val="00672FA2"/>
    <w:rsid w:val="006768F4"/>
    <w:rsid w:val="00684FFC"/>
    <w:rsid w:val="00692627"/>
    <w:rsid w:val="006969E7"/>
    <w:rsid w:val="006A0DA2"/>
    <w:rsid w:val="006A3643"/>
    <w:rsid w:val="006A3D62"/>
    <w:rsid w:val="006A6611"/>
    <w:rsid w:val="006B0CD3"/>
    <w:rsid w:val="006B10C2"/>
    <w:rsid w:val="006B2DE1"/>
    <w:rsid w:val="006B53CC"/>
    <w:rsid w:val="006C2589"/>
    <w:rsid w:val="006C2A29"/>
    <w:rsid w:val="006C4EB8"/>
    <w:rsid w:val="006C5CD7"/>
    <w:rsid w:val="006C64CF"/>
    <w:rsid w:val="006C767F"/>
    <w:rsid w:val="006C7842"/>
    <w:rsid w:val="006C7D2E"/>
    <w:rsid w:val="006D17B1"/>
    <w:rsid w:val="006D309B"/>
    <w:rsid w:val="006D4752"/>
    <w:rsid w:val="006D708A"/>
    <w:rsid w:val="006E14C1"/>
    <w:rsid w:val="006E1FA1"/>
    <w:rsid w:val="006E3778"/>
    <w:rsid w:val="006E37FD"/>
    <w:rsid w:val="006E614E"/>
    <w:rsid w:val="006F0292"/>
    <w:rsid w:val="006F27FA"/>
    <w:rsid w:val="006F416B"/>
    <w:rsid w:val="006F519B"/>
    <w:rsid w:val="00704C34"/>
    <w:rsid w:val="00713675"/>
    <w:rsid w:val="00714367"/>
    <w:rsid w:val="0071465D"/>
    <w:rsid w:val="00715823"/>
    <w:rsid w:val="007253EF"/>
    <w:rsid w:val="00730A23"/>
    <w:rsid w:val="00737B93"/>
    <w:rsid w:val="00745BF0"/>
    <w:rsid w:val="0074757B"/>
    <w:rsid w:val="00751EA3"/>
    <w:rsid w:val="007546A4"/>
    <w:rsid w:val="007549EA"/>
    <w:rsid w:val="007615FE"/>
    <w:rsid w:val="00764BAF"/>
    <w:rsid w:val="007661B9"/>
    <w:rsid w:val="0076655C"/>
    <w:rsid w:val="0076677D"/>
    <w:rsid w:val="007742DC"/>
    <w:rsid w:val="0077746E"/>
    <w:rsid w:val="0078240A"/>
    <w:rsid w:val="00791437"/>
    <w:rsid w:val="00795A59"/>
    <w:rsid w:val="007967CA"/>
    <w:rsid w:val="007B0C2C"/>
    <w:rsid w:val="007B278E"/>
    <w:rsid w:val="007B5CA2"/>
    <w:rsid w:val="007B66D8"/>
    <w:rsid w:val="007C1F3D"/>
    <w:rsid w:val="007C5C23"/>
    <w:rsid w:val="007D4511"/>
    <w:rsid w:val="007E0EAD"/>
    <w:rsid w:val="007E2A26"/>
    <w:rsid w:val="007F21D0"/>
    <w:rsid w:val="007F2348"/>
    <w:rsid w:val="007F4757"/>
    <w:rsid w:val="00803F07"/>
    <w:rsid w:val="0080749A"/>
    <w:rsid w:val="00807806"/>
    <w:rsid w:val="00821FB8"/>
    <w:rsid w:val="00822ACD"/>
    <w:rsid w:val="008253D2"/>
    <w:rsid w:val="00832331"/>
    <w:rsid w:val="00834DAF"/>
    <w:rsid w:val="008367D0"/>
    <w:rsid w:val="00845649"/>
    <w:rsid w:val="008555E9"/>
    <w:rsid w:val="00855C66"/>
    <w:rsid w:val="00857838"/>
    <w:rsid w:val="00861370"/>
    <w:rsid w:val="008619AD"/>
    <w:rsid w:val="008658F0"/>
    <w:rsid w:val="00871EE4"/>
    <w:rsid w:val="00872AF9"/>
    <w:rsid w:val="00874847"/>
    <w:rsid w:val="00874A03"/>
    <w:rsid w:val="00880C56"/>
    <w:rsid w:val="008954DF"/>
    <w:rsid w:val="008A34D3"/>
    <w:rsid w:val="008A7E38"/>
    <w:rsid w:val="008B293F"/>
    <w:rsid w:val="008B6688"/>
    <w:rsid w:val="008B7371"/>
    <w:rsid w:val="008C3026"/>
    <w:rsid w:val="008C7F85"/>
    <w:rsid w:val="008D13E8"/>
    <w:rsid w:val="008D2347"/>
    <w:rsid w:val="008D3DDB"/>
    <w:rsid w:val="008E04A6"/>
    <w:rsid w:val="008E4AA4"/>
    <w:rsid w:val="008F1BB4"/>
    <w:rsid w:val="008F26B1"/>
    <w:rsid w:val="008F2CEB"/>
    <w:rsid w:val="008F3B04"/>
    <w:rsid w:val="008F573F"/>
    <w:rsid w:val="0090135C"/>
    <w:rsid w:val="009034EC"/>
    <w:rsid w:val="009038F8"/>
    <w:rsid w:val="00905452"/>
    <w:rsid w:val="00905462"/>
    <w:rsid w:val="00923B81"/>
    <w:rsid w:val="0093067A"/>
    <w:rsid w:val="00932229"/>
    <w:rsid w:val="00934814"/>
    <w:rsid w:val="00941C60"/>
    <w:rsid w:val="00941FD1"/>
    <w:rsid w:val="0094443D"/>
    <w:rsid w:val="0096297B"/>
    <w:rsid w:val="009647EA"/>
    <w:rsid w:val="00966D42"/>
    <w:rsid w:val="00971689"/>
    <w:rsid w:val="0097170F"/>
    <w:rsid w:val="00973E90"/>
    <w:rsid w:val="00975B07"/>
    <w:rsid w:val="00975DBF"/>
    <w:rsid w:val="00980B4A"/>
    <w:rsid w:val="009836D5"/>
    <w:rsid w:val="0099164D"/>
    <w:rsid w:val="00992420"/>
    <w:rsid w:val="00992835"/>
    <w:rsid w:val="00994D0F"/>
    <w:rsid w:val="009B3E8A"/>
    <w:rsid w:val="009B731F"/>
    <w:rsid w:val="009C5348"/>
    <w:rsid w:val="009D3627"/>
    <w:rsid w:val="009D458E"/>
    <w:rsid w:val="009D7080"/>
    <w:rsid w:val="009E3394"/>
    <w:rsid w:val="009E3D0A"/>
    <w:rsid w:val="009E51FC"/>
    <w:rsid w:val="009E68E0"/>
    <w:rsid w:val="009F1D28"/>
    <w:rsid w:val="009F6BC0"/>
    <w:rsid w:val="009F7618"/>
    <w:rsid w:val="00A04D23"/>
    <w:rsid w:val="00A06766"/>
    <w:rsid w:val="00A12E5B"/>
    <w:rsid w:val="00A13765"/>
    <w:rsid w:val="00A21B12"/>
    <w:rsid w:val="00A23028"/>
    <w:rsid w:val="00A23F80"/>
    <w:rsid w:val="00A255F4"/>
    <w:rsid w:val="00A26C15"/>
    <w:rsid w:val="00A30F48"/>
    <w:rsid w:val="00A320ED"/>
    <w:rsid w:val="00A45947"/>
    <w:rsid w:val="00A46E98"/>
    <w:rsid w:val="00A56A16"/>
    <w:rsid w:val="00A62814"/>
    <w:rsid w:val="00A6352B"/>
    <w:rsid w:val="00A642E6"/>
    <w:rsid w:val="00A66100"/>
    <w:rsid w:val="00A701B5"/>
    <w:rsid w:val="00A714BB"/>
    <w:rsid w:val="00A74D37"/>
    <w:rsid w:val="00A75F78"/>
    <w:rsid w:val="00A76A79"/>
    <w:rsid w:val="00A77147"/>
    <w:rsid w:val="00A824F2"/>
    <w:rsid w:val="00A85C65"/>
    <w:rsid w:val="00A90A97"/>
    <w:rsid w:val="00A92D8F"/>
    <w:rsid w:val="00A93942"/>
    <w:rsid w:val="00AB18E9"/>
    <w:rsid w:val="00AB2988"/>
    <w:rsid w:val="00AB2A81"/>
    <w:rsid w:val="00AB3849"/>
    <w:rsid w:val="00AB3F66"/>
    <w:rsid w:val="00AB7999"/>
    <w:rsid w:val="00AC1D47"/>
    <w:rsid w:val="00AC3877"/>
    <w:rsid w:val="00AC3886"/>
    <w:rsid w:val="00AD3292"/>
    <w:rsid w:val="00AD5C7C"/>
    <w:rsid w:val="00AE1684"/>
    <w:rsid w:val="00AE262E"/>
    <w:rsid w:val="00AE496A"/>
    <w:rsid w:val="00AE7AF0"/>
    <w:rsid w:val="00AF2AA9"/>
    <w:rsid w:val="00AF4203"/>
    <w:rsid w:val="00B13A1E"/>
    <w:rsid w:val="00B208B0"/>
    <w:rsid w:val="00B232D3"/>
    <w:rsid w:val="00B35BD0"/>
    <w:rsid w:val="00B500CA"/>
    <w:rsid w:val="00B513DA"/>
    <w:rsid w:val="00B56DEA"/>
    <w:rsid w:val="00B6369C"/>
    <w:rsid w:val="00B707A5"/>
    <w:rsid w:val="00B81D0D"/>
    <w:rsid w:val="00B86314"/>
    <w:rsid w:val="00B93FFA"/>
    <w:rsid w:val="00BA0A30"/>
    <w:rsid w:val="00BA1C2E"/>
    <w:rsid w:val="00BA4BE5"/>
    <w:rsid w:val="00BB255A"/>
    <w:rsid w:val="00BC200B"/>
    <w:rsid w:val="00BC4756"/>
    <w:rsid w:val="00BC69A4"/>
    <w:rsid w:val="00BD1F7A"/>
    <w:rsid w:val="00BD433A"/>
    <w:rsid w:val="00BE0680"/>
    <w:rsid w:val="00BE1EF8"/>
    <w:rsid w:val="00BE305F"/>
    <w:rsid w:val="00BE7BA3"/>
    <w:rsid w:val="00BF2B37"/>
    <w:rsid w:val="00BF4533"/>
    <w:rsid w:val="00BF5682"/>
    <w:rsid w:val="00BF7664"/>
    <w:rsid w:val="00BF7B09"/>
    <w:rsid w:val="00C05260"/>
    <w:rsid w:val="00C059B9"/>
    <w:rsid w:val="00C05E07"/>
    <w:rsid w:val="00C076B9"/>
    <w:rsid w:val="00C13356"/>
    <w:rsid w:val="00C133DC"/>
    <w:rsid w:val="00C13B84"/>
    <w:rsid w:val="00C15955"/>
    <w:rsid w:val="00C20A95"/>
    <w:rsid w:val="00C2692F"/>
    <w:rsid w:val="00C30765"/>
    <w:rsid w:val="00C3207C"/>
    <w:rsid w:val="00C33E17"/>
    <w:rsid w:val="00C33FDA"/>
    <w:rsid w:val="00C34B1C"/>
    <w:rsid w:val="00C36619"/>
    <w:rsid w:val="00C400E1"/>
    <w:rsid w:val="00C41187"/>
    <w:rsid w:val="00C45CA3"/>
    <w:rsid w:val="00C50E66"/>
    <w:rsid w:val="00C55247"/>
    <w:rsid w:val="00C56120"/>
    <w:rsid w:val="00C63C31"/>
    <w:rsid w:val="00C752D6"/>
    <w:rsid w:val="00C757A0"/>
    <w:rsid w:val="00C760DE"/>
    <w:rsid w:val="00C821DD"/>
    <w:rsid w:val="00C82630"/>
    <w:rsid w:val="00C85B4E"/>
    <w:rsid w:val="00C8752E"/>
    <w:rsid w:val="00C87578"/>
    <w:rsid w:val="00C907F7"/>
    <w:rsid w:val="00CA2081"/>
    <w:rsid w:val="00CA2103"/>
    <w:rsid w:val="00CA271A"/>
    <w:rsid w:val="00CA3689"/>
    <w:rsid w:val="00CB21E8"/>
    <w:rsid w:val="00CB6B99"/>
    <w:rsid w:val="00CB7A4F"/>
    <w:rsid w:val="00CD4A94"/>
    <w:rsid w:val="00CE08D8"/>
    <w:rsid w:val="00CE0F23"/>
    <w:rsid w:val="00CE4C87"/>
    <w:rsid w:val="00CE544A"/>
    <w:rsid w:val="00D01361"/>
    <w:rsid w:val="00D0277E"/>
    <w:rsid w:val="00D11E1C"/>
    <w:rsid w:val="00D1328A"/>
    <w:rsid w:val="00D160B0"/>
    <w:rsid w:val="00D173FE"/>
    <w:rsid w:val="00D17F94"/>
    <w:rsid w:val="00D223FC"/>
    <w:rsid w:val="00D22AC6"/>
    <w:rsid w:val="00D22B60"/>
    <w:rsid w:val="00D26D1E"/>
    <w:rsid w:val="00D33FBF"/>
    <w:rsid w:val="00D345BE"/>
    <w:rsid w:val="00D425C2"/>
    <w:rsid w:val="00D46C42"/>
    <w:rsid w:val="00D474CF"/>
    <w:rsid w:val="00D47BBC"/>
    <w:rsid w:val="00D5547E"/>
    <w:rsid w:val="00D559B0"/>
    <w:rsid w:val="00D566E2"/>
    <w:rsid w:val="00D72416"/>
    <w:rsid w:val="00D72D04"/>
    <w:rsid w:val="00D8270A"/>
    <w:rsid w:val="00D860E2"/>
    <w:rsid w:val="00D869A1"/>
    <w:rsid w:val="00DA413F"/>
    <w:rsid w:val="00DA4584"/>
    <w:rsid w:val="00DA47BC"/>
    <w:rsid w:val="00DA494F"/>
    <w:rsid w:val="00DA614B"/>
    <w:rsid w:val="00DB55C5"/>
    <w:rsid w:val="00DB7442"/>
    <w:rsid w:val="00DB7AD7"/>
    <w:rsid w:val="00DC3060"/>
    <w:rsid w:val="00DC61DC"/>
    <w:rsid w:val="00DD5642"/>
    <w:rsid w:val="00DE0E2F"/>
    <w:rsid w:val="00DE0FB2"/>
    <w:rsid w:val="00DE3C40"/>
    <w:rsid w:val="00DF093E"/>
    <w:rsid w:val="00DF205D"/>
    <w:rsid w:val="00DF5D4E"/>
    <w:rsid w:val="00E01F42"/>
    <w:rsid w:val="00E05CAA"/>
    <w:rsid w:val="00E17552"/>
    <w:rsid w:val="00E206D6"/>
    <w:rsid w:val="00E276DE"/>
    <w:rsid w:val="00E3002B"/>
    <w:rsid w:val="00E30E07"/>
    <w:rsid w:val="00E30FD7"/>
    <w:rsid w:val="00E3366E"/>
    <w:rsid w:val="00E36866"/>
    <w:rsid w:val="00E40DA9"/>
    <w:rsid w:val="00E43DEF"/>
    <w:rsid w:val="00E508A1"/>
    <w:rsid w:val="00E52086"/>
    <w:rsid w:val="00E543A6"/>
    <w:rsid w:val="00E551C4"/>
    <w:rsid w:val="00E60479"/>
    <w:rsid w:val="00E61D73"/>
    <w:rsid w:val="00E73684"/>
    <w:rsid w:val="00E818D6"/>
    <w:rsid w:val="00E83B56"/>
    <w:rsid w:val="00E87F7A"/>
    <w:rsid w:val="00E92F0A"/>
    <w:rsid w:val="00E94B3E"/>
    <w:rsid w:val="00E96BD7"/>
    <w:rsid w:val="00EA0DB1"/>
    <w:rsid w:val="00EA0EE9"/>
    <w:rsid w:val="00EA1870"/>
    <w:rsid w:val="00EA75EE"/>
    <w:rsid w:val="00EA75F2"/>
    <w:rsid w:val="00EB2071"/>
    <w:rsid w:val="00EB3A3A"/>
    <w:rsid w:val="00ED4943"/>
    <w:rsid w:val="00ED52CA"/>
    <w:rsid w:val="00ED5860"/>
    <w:rsid w:val="00ED5D7B"/>
    <w:rsid w:val="00EE149B"/>
    <w:rsid w:val="00EE35C9"/>
    <w:rsid w:val="00F03F3C"/>
    <w:rsid w:val="00F0544C"/>
    <w:rsid w:val="00F05ECA"/>
    <w:rsid w:val="00F122B1"/>
    <w:rsid w:val="00F1546E"/>
    <w:rsid w:val="00F17A74"/>
    <w:rsid w:val="00F26E21"/>
    <w:rsid w:val="00F27717"/>
    <w:rsid w:val="00F34646"/>
    <w:rsid w:val="00F3566E"/>
    <w:rsid w:val="00F375FB"/>
    <w:rsid w:val="00F41AC1"/>
    <w:rsid w:val="00F42B11"/>
    <w:rsid w:val="00F4367A"/>
    <w:rsid w:val="00F445B1"/>
    <w:rsid w:val="00F45CD4"/>
    <w:rsid w:val="00F4654F"/>
    <w:rsid w:val="00F66DCA"/>
    <w:rsid w:val="00F71836"/>
    <w:rsid w:val="00F739D0"/>
    <w:rsid w:val="00F74CD8"/>
    <w:rsid w:val="00F74F53"/>
    <w:rsid w:val="00F7606D"/>
    <w:rsid w:val="00F81670"/>
    <w:rsid w:val="00F82024"/>
    <w:rsid w:val="00F865A3"/>
    <w:rsid w:val="00F87963"/>
    <w:rsid w:val="00F95BC9"/>
    <w:rsid w:val="00F96B7E"/>
    <w:rsid w:val="00FA0AB4"/>
    <w:rsid w:val="00FA2C4A"/>
    <w:rsid w:val="00FA624C"/>
    <w:rsid w:val="00FB3B71"/>
    <w:rsid w:val="00FB4B78"/>
    <w:rsid w:val="00FB6055"/>
    <w:rsid w:val="00FD0FAC"/>
    <w:rsid w:val="00FD1DFA"/>
    <w:rsid w:val="00FD4966"/>
    <w:rsid w:val="00FD55A3"/>
    <w:rsid w:val="00FD6AA0"/>
    <w:rsid w:val="00FE45AA"/>
    <w:rsid w:val="00FE5616"/>
    <w:rsid w:val="00FE57DC"/>
    <w:rsid w:val="00FF095A"/>
    <w:rsid w:val="00FF4B75"/>
    <w:rsid w:val="011979B9"/>
    <w:rsid w:val="012460D6"/>
    <w:rsid w:val="0156ABB6"/>
    <w:rsid w:val="016CD76F"/>
    <w:rsid w:val="023873DD"/>
    <w:rsid w:val="0287E82A"/>
    <w:rsid w:val="02AB56F3"/>
    <w:rsid w:val="02C8222F"/>
    <w:rsid w:val="02EEAE09"/>
    <w:rsid w:val="034B437D"/>
    <w:rsid w:val="03AEFD40"/>
    <w:rsid w:val="03F90F1F"/>
    <w:rsid w:val="0538591A"/>
    <w:rsid w:val="0554E733"/>
    <w:rsid w:val="061C34FF"/>
    <w:rsid w:val="065FB365"/>
    <w:rsid w:val="0679D8DF"/>
    <w:rsid w:val="0682018A"/>
    <w:rsid w:val="06E0A23A"/>
    <w:rsid w:val="0710BB9B"/>
    <w:rsid w:val="0751F46F"/>
    <w:rsid w:val="0755C6CE"/>
    <w:rsid w:val="0815476D"/>
    <w:rsid w:val="0835F58A"/>
    <w:rsid w:val="08514F20"/>
    <w:rsid w:val="08612AF7"/>
    <w:rsid w:val="086B0F04"/>
    <w:rsid w:val="089F7CD6"/>
    <w:rsid w:val="08A8E222"/>
    <w:rsid w:val="0939A38A"/>
    <w:rsid w:val="095F4CB8"/>
    <w:rsid w:val="0992A598"/>
    <w:rsid w:val="09EA6934"/>
    <w:rsid w:val="0A043DC2"/>
    <w:rsid w:val="0A996ACD"/>
    <w:rsid w:val="0AB5A089"/>
    <w:rsid w:val="0AFF6EB2"/>
    <w:rsid w:val="0B0772A6"/>
    <w:rsid w:val="0B3CBADD"/>
    <w:rsid w:val="0BC4DFF5"/>
    <w:rsid w:val="0C13AF63"/>
    <w:rsid w:val="0C561493"/>
    <w:rsid w:val="0C9B31B2"/>
    <w:rsid w:val="0CE04306"/>
    <w:rsid w:val="0DB5FB5A"/>
    <w:rsid w:val="0E59E532"/>
    <w:rsid w:val="0E678B67"/>
    <w:rsid w:val="0F29C716"/>
    <w:rsid w:val="0FB2E971"/>
    <w:rsid w:val="0FD94F77"/>
    <w:rsid w:val="10110FBC"/>
    <w:rsid w:val="1044EEBA"/>
    <w:rsid w:val="10D0D842"/>
    <w:rsid w:val="10D6FE06"/>
    <w:rsid w:val="114C5F09"/>
    <w:rsid w:val="117C6825"/>
    <w:rsid w:val="1200FACE"/>
    <w:rsid w:val="12836911"/>
    <w:rsid w:val="12DAD070"/>
    <w:rsid w:val="12E744BB"/>
    <w:rsid w:val="131504D7"/>
    <w:rsid w:val="137C8894"/>
    <w:rsid w:val="13CCE90D"/>
    <w:rsid w:val="13D64D59"/>
    <w:rsid w:val="13F9B24C"/>
    <w:rsid w:val="1410C489"/>
    <w:rsid w:val="144275CA"/>
    <w:rsid w:val="14D320D6"/>
    <w:rsid w:val="14E70CE3"/>
    <w:rsid w:val="1588CDC7"/>
    <w:rsid w:val="15D14C7F"/>
    <w:rsid w:val="15DA6FD2"/>
    <w:rsid w:val="15F53813"/>
    <w:rsid w:val="1622689C"/>
    <w:rsid w:val="17513DD5"/>
    <w:rsid w:val="18A47893"/>
    <w:rsid w:val="18BF55C7"/>
    <w:rsid w:val="18F31837"/>
    <w:rsid w:val="1936EB79"/>
    <w:rsid w:val="1952DE67"/>
    <w:rsid w:val="19F9C24B"/>
    <w:rsid w:val="1A10694C"/>
    <w:rsid w:val="1A5E1915"/>
    <w:rsid w:val="1A6940EA"/>
    <w:rsid w:val="1A79C876"/>
    <w:rsid w:val="1AC9569F"/>
    <w:rsid w:val="1B7941AF"/>
    <w:rsid w:val="1BA959A7"/>
    <w:rsid w:val="1BC6CE4C"/>
    <w:rsid w:val="1C6B105B"/>
    <w:rsid w:val="1D080B8E"/>
    <w:rsid w:val="1D2FA919"/>
    <w:rsid w:val="1D79CE75"/>
    <w:rsid w:val="1DDB0F5D"/>
    <w:rsid w:val="1DF5CF4F"/>
    <w:rsid w:val="1E689769"/>
    <w:rsid w:val="1E89C361"/>
    <w:rsid w:val="1E8F93F0"/>
    <w:rsid w:val="1EE110D9"/>
    <w:rsid w:val="1F457A02"/>
    <w:rsid w:val="1F522985"/>
    <w:rsid w:val="1F6A1AD9"/>
    <w:rsid w:val="1FAE3C35"/>
    <w:rsid w:val="208DB182"/>
    <w:rsid w:val="2187760D"/>
    <w:rsid w:val="220364A8"/>
    <w:rsid w:val="2218E0AF"/>
    <w:rsid w:val="22406A13"/>
    <w:rsid w:val="229BB4EA"/>
    <w:rsid w:val="22B011A8"/>
    <w:rsid w:val="2504730E"/>
    <w:rsid w:val="2600E22C"/>
    <w:rsid w:val="26121525"/>
    <w:rsid w:val="267A4DA5"/>
    <w:rsid w:val="26C03067"/>
    <w:rsid w:val="26FF9091"/>
    <w:rsid w:val="274AEAD0"/>
    <w:rsid w:val="277763EC"/>
    <w:rsid w:val="278ED213"/>
    <w:rsid w:val="279C58D8"/>
    <w:rsid w:val="27C3EA7B"/>
    <w:rsid w:val="289BBA1D"/>
    <w:rsid w:val="28D06B2A"/>
    <w:rsid w:val="29077E26"/>
    <w:rsid w:val="29155F6B"/>
    <w:rsid w:val="29319CC2"/>
    <w:rsid w:val="2976938E"/>
    <w:rsid w:val="29911054"/>
    <w:rsid w:val="29C91C3A"/>
    <w:rsid w:val="29EBE4D7"/>
    <w:rsid w:val="2A92901F"/>
    <w:rsid w:val="2AE2DC68"/>
    <w:rsid w:val="2AF43FAA"/>
    <w:rsid w:val="2B0F1158"/>
    <w:rsid w:val="2B7BAFE9"/>
    <w:rsid w:val="2BA98BA9"/>
    <w:rsid w:val="2BAD4CEF"/>
    <w:rsid w:val="2BB29E7E"/>
    <w:rsid w:val="2BD8CC95"/>
    <w:rsid w:val="2BDEE800"/>
    <w:rsid w:val="2C0F9C71"/>
    <w:rsid w:val="2C74D5A1"/>
    <w:rsid w:val="2CD615B8"/>
    <w:rsid w:val="2CE2F081"/>
    <w:rsid w:val="2D1AE034"/>
    <w:rsid w:val="2D3BABEF"/>
    <w:rsid w:val="2E6D5454"/>
    <w:rsid w:val="2F13D2CD"/>
    <w:rsid w:val="2F2A85A0"/>
    <w:rsid w:val="2F34B4B1"/>
    <w:rsid w:val="2F68CC7A"/>
    <w:rsid w:val="2F91CAA3"/>
    <w:rsid w:val="2FB8C8EB"/>
    <w:rsid w:val="301BC4C3"/>
    <w:rsid w:val="303D9F2B"/>
    <w:rsid w:val="30625B79"/>
    <w:rsid w:val="30641E58"/>
    <w:rsid w:val="30BE8A9B"/>
    <w:rsid w:val="30D8541F"/>
    <w:rsid w:val="30E257C8"/>
    <w:rsid w:val="31B1A341"/>
    <w:rsid w:val="336EA5DC"/>
    <w:rsid w:val="33961124"/>
    <w:rsid w:val="33B7281E"/>
    <w:rsid w:val="33FF7DAA"/>
    <w:rsid w:val="34146A1D"/>
    <w:rsid w:val="3433E888"/>
    <w:rsid w:val="34E05431"/>
    <w:rsid w:val="35249696"/>
    <w:rsid w:val="353EED32"/>
    <w:rsid w:val="3560D3EB"/>
    <w:rsid w:val="361E7983"/>
    <w:rsid w:val="36B8A9BA"/>
    <w:rsid w:val="36EF8CE8"/>
    <w:rsid w:val="375413B8"/>
    <w:rsid w:val="37809689"/>
    <w:rsid w:val="37A07806"/>
    <w:rsid w:val="37E01443"/>
    <w:rsid w:val="37F40D08"/>
    <w:rsid w:val="37FFB4D7"/>
    <w:rsid w:val="3816189F"/>
    <w:rsid w:val="395C47E3"/>
    <w:rsid w:val="39733EB4"/>
    <w:rsid w:val="397B3F40"/>
    <w:rsid w:val="399A5E4F"/>
    <w:rsid w:val="39A05735"/>
    <w:rsid w:val="39BE90B8"/>
    <w:rsid w:val="39E36155"/>
    <w:rsid w:val="3A382976"/>
    <w:rsid w:val="3A6930CC"/>
    <w:rsid w:val="3A899F7B"/>
    <w:rsid w:val="3AE209EB"/>
    <w:rsid w:val="3B060B21"/>
    <w:rsid w:val="3B317E88"/>
    <w:rsid w:val="3BE35CEE"/>
    <w:rsid w:val="3C53B151"/>
    <w:rsid w:val="3C806490"/>
    <w:rsid w:val="3C9D287A"/>
    <w:rsid w:val="3CC14F5D"/>
    <w:rsid w:val="3D21DA05"/>
    <w:rsid w:val="3D3B0069"/>
    <w:rsid w:val="3D5FB0EF"/>
    <w:rsid w:val="3D9882EA"/>
    <w:rsid w:val="3DF14DDC"/>
    <w:rsid w:val="3EBA0DA8"/>
    <w:rsid w:val="3EF71E4E"/>
    <w:rsid w:val="3F66629D"/>
    <w:rsid w:val="3F74E53E"/>
    <w:rsid w:val="3F766751"/>
    <w:rsid w:val="40063A47"/>
    <w:rsid w:val="40774643"/>
    <w:rsid w:val="40DA8A32"/>
    <w:rsid w:val="4112A704"/>
    <w:rsid w:val="41571A7F"/>
    <w:rsid w:val="41CE44D9"/>
    <w:rsid w:val="422CCF3C"/>
    <w:rsid w:val="42DDDBA8"/>
    <w:rsid w:val="4331844B"/>
    <w:rsid w:val="43862F05"/>
    <w:rsid w:val="43A59EBB"/>
    <w:rsid w:val="4473C07C"/>
    <w:rsid w:val="45010F14"/>
    <w:rsid w:val="45375560"/>
    <w:rsid w:val="45BBD153"/>
    <w:rsid w:val="46155081"/>
    <w:rsid w:val="46496C5B"/>
    <w:rsid w:val="46980018"/>
    <w:rsid w:val="47082993"/>
    <w:rsid w:val="4735B1BD"/>
    <w:rsid w:val="4759A761"/>
    <w:rsid w:val="47614577"/>
    <w:rsid w:val="47F273E0"/>
    <w:rsid w:val="481180F6"/>
    <w:rsid w:val="486E10AE"/>
    <w:rsid w:val="49107E32"/>
    <w:rsid w:val="491E770E"/>
    <w:rsid w:val="4977122A"/>
    <w:rsid w:val="498A09A6"/>
    <w:rsid w:val="49BB34DB"/>
    <w:rsid w:val="4ACA4E23"/>
    <w:rsid w:val="4B84F9CA"/>
    <w:rsid w:val="4BB87F4A"/>
    <w:rsid w:val="4BB90B8B"/>
    <w:rsid w:val="4BCE0083"/>
    <w:rsid w:val="4C2D167E"/>
    <w:rsid w:val="4C36344A"/>
    <w:rsid w:val="4C9C4728"/>
    <w:rsid w:val="4E780D21"/>
    <w:rsid w:val="4F43C41E"/>
    <w:rsid w:val="4F6C9689"/>
    <w:rsid w:val="4F94A223"/>
    <w:rsid w:val="4F966FB6"/>
    <w:rsid w:val="5353493B"/>
    <w:rsid w:val="53B668D2"/>
    <w:rsid w:val="53EA70B1"/>
    <w:rsid w:val="53F6BB22"/>
    <w:rsid w:val="55663615"/>
    <w:rsid w:val="5602BFF8"/>
    <w:rsid w:val="561E3DD4"/>
    <w:rsid w:val="567A1905"/>
    <w:rsid w:val="5689DBBF"/>
    <w:rsid w:val="5783E271"/>
    <w:rsid w:val="578D7C2F"/>
    <w:rsid w:val="57A5DB02"/>
    <w:rsid w:val="5808269C"/>
    <w:rsid w:val="5832B0E0"/>
    <w:rsid w:val="58B2CBFE"/>
    <w:rsid w:val="5900248A"/>
    <w:rsid w:val="590812A6"/>
    <w:rsid w:val="59C40013"/>
    <w:rsid w:val="59C96389"/>
    <w:rsid w:val="5B6DCC17"/>
    <w:rsid w:val="5B818A7E"/>
    <w:rsid w:val="5B819F24"/>
    <w:rsid w:val="5BBB0ADA"/>
    <w:rsid w:val="5C2B989B"/>
    <w:rsid w:val="5C3296E5"/>
    <w:rsid w:val="5C88F43E"/>
    <w:rsid w:val="5CBE517D"/>
    <w:rsid w:val="5D71F95F"/>
    <w:rsid w:val="5D81E474"/>
    <w:rsid w:val="5DF2D77F"/>
    <w:rsid w:val="5E36ABB0"/>
    <w:rsid w:val="5E6B8486"/>
    <w:rsid w:val="5EB9F882"/>
    <w:rsid w:val="5EDEFF1A"/>
    <w:rsid w:val="5F8FDF01"/>
    <w:rsid w:val="60415611"/>
    <w:rsid w:val="60B15492"/>
    <w:rsid w:val="60E0B856"/>
    <w:rsid w:val="60F5BDBD"/>
    <w:rsid w:val="615BAC82"/>
    <w:rsid w:val="618F331B"/>
    <w:rsid w:val="61A3A23A"/>
    <w:rsid w:val="61CBB335"/>
    <w:rsid w:val="61DF4AFD"/>
    <w:rsid w:val="62165444"/>
    <w:rsid w:val="652EF2BB"/>
    <w:rsid w:val="657286C4"/>
    <w:rsid w:val="65912E93"/>
    <w:rsid w:val="6683918C"/>
    <w:rsid w:val="6705CB2F"/>
    <w:rsid w:val="67241C2A"/>
    <w:rsid w:val="67455B2D"/>
    <w:rsid w:val="674A6103"/>
    <w:rsid w:val="676A7C9A"/>
    <w:rsid w:val="67763C94"/>
    <w:rsid w:val="67C8F5F6"/>
    <w:rsid w:val="68069C9E"/>
    <w:rsid w:val="684E106E"/>
    <w:rsid w:val="68A4BF98"/>
    <w:rsid w:val="68AF55E4"/>
    <w:rsid w:val="68D891F1"/>
    <w:rsid w:val="68E107DB"/>
    <w:rsid w:val="69410224"/>
    <w:rsid w:val="694B0ED3"/>
    <w:rsid w:val="6962A71B"/>
    <w:rsid w:val="69C0F1C8"/>
    <w:rsid w:val="6A38635F"/>
    <w:rsid w:val="6A74C121"/>
    <w:rsid w:val="6AB83EFA"/>
    <w:rsid w:val="6B9631F3"/>
    <w:rsid w:val="6C4C3A27"/>
    <w:rsid w:val="6C68FDE1"/>
    <w:rsid w:val="6CEA5107"/>
    <w:rsid w:val="6D07B96B"/>
    <w:rsid w:val="6D8A7C5A"/>
    <w:rsid w:val="6D8AC3F0"/>
    <w:rsid w:val="6DB8780C"/>
    <w:rsid w:val="6EAE2D30"/>
    <w:rsid w:val="6EDC9A29"/>
    <w:rsid w:val="6EF1E5C9"/>
    <w:rsid w:val="701D04CB"/>
    <w:rsid w:val="7075B2C3"/>
    <w:rsid w:val="70877C27"/>
    <w:rsid w:val="709410E8"/>
    <w:rsid w:val="70AFA9DD"/>
    <w:rsid w:val="70BB03AA"/>
    <w:rsid w:val="70CE5F5A"/>
    <w:rsid w:val="7120C3A0"/>
    <w:rsid w:val="7126238E"/>
    <w:rsid w:val="71690328"/>
    <w:rsid w:val="719C242E"/>
    <w:rsid w:val="721644C6"/>
    <w:rsid w:val="728B1D10"/>
    <w:rsid w:val="72DE3F60"/>
    <w:rsid w:val="7337D733"/>
    <w:rsid w:val="74017F12"/>
    <w:rsid w:val="742E23A1"/>
    <w:rsid w:val="7437B097"/>
    <w:rsid w:val="74A0D1BA"/>
    <w:rsid w:val="74DD5E36"/>
    <w:rsid w:val="75D15CF3"/>
    <w:rsid w:val="762F4D2A"/>
    <w:rsid w:val="76DC391E"/>
    <w:rsid w:val="76FFE4CF"/>
    <w:rsid w:val="774EB2EB"/>
    <w:rsid w:val="7759DF89"/>
    <w:rsid w:val="784DBD93"/>
    <w:rsid w:val="79A97A22"/>
    <w:rsid w:val="7A731415"/>
    <w:rsid w:val="7ACC6696"/>
    <w:rsid w:val="7AF79AAA"/>
    <w:rsid w:val="7B4000E0"/>
    <w:rsid w:val="7B96FB4A"/>
    <w:rsid w:val="7BE0A549"/>
    <w:rsid w:val="7BEF2DD8"/>
    <w:rsid w:val="7BF71614"/>
    <w:rsid w:val="7C426C1E"/>
    <w:rsid w:val="7CB39464"/>
    <w:rsid w:val="7DAADAE2"/>
    <w:rsid w:val="7E2CE386"/>
    <w:rsid w:val="7E657CAC"/>
    <w:rsid w:val="7ECA0CCF"/>
    <w:rsid w:val="7F8AF194"/>
    <w:rsid w:val="7FE1DD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082F00E3-FA0D-4B4A-8670-32423040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5"/>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4"/>
      </w:numPr>
    </w:pPr>
  </w:style>
  <w:style w:type="paragraph" w:customStyle="1" w:styleId="Bulletpoints">
    <w:name w:val="Bullet points"/>
    <w:basedOn w:val="Normal"/>
    <w:link w:val="BulletpointsChar"/>
    <w:qFormat/>
    <w:rsid w:val="005570B5"/>
    <w:pPr>
      <w:numPr>
        <w:numId w:val="6"/>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8"/>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11"/>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72355283">
      <w:bodyDiv w:val="1"/>
      <w:marLeft w:val="0"/>
      <w:marRight w:val="0"/>
      <w:marTop w:val="0"/>
      <w:marBottom w:val="0"/>
      <w:divBdr>
        <w:top w:val="none" w:sz="0" w:space="0" w:color="auto"/>
        <w:left w:val="none" w:sz="0" w:space="0" w:color="auto"/>
        <w:bottom w:val="none" w:sz="0" w:space="0" w:color="auto"/>
        <w:right w:val="none" w:sz="0" w:space="0" w:color="auto"/>
      </w:divBdr>
    </w:div>
    <w:div w:id="587494969">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44255147">
      <w:bodyDiv w:val="1"/>
      <w:marLeft w:val="0"/>
      <w:marRight w:val="0"/>
      <w:marTop w:val="0"/>
      <w:marBottom w:val="0"/>
      <w:divBdr>
        <w:top w:val="none" w:sz="0" w:space="0" w:color="auto"/>
        <w:left w:val="none" w:sz="0" w:space="0" w:color="auto"/>
        <w:bottom w:val="none" w:sz="0" w:space="0" w:color="auto"/>
        <w:right w:val="none" w:sz="0" w:space="0" w:color="auto"/>
      </w:divBdr>
    </w:div>
    <w:div w:id="787773451">
      <w:bodyDiv w:val="1"/>
      <w:marLeft w:val="0"/>
      <w:marRight w:val="0"/>
      <w:marTop w:val="0"/>
      <w:marBottom w:val="0"/>
      <w:divBdr>
        <w:top w:val="none" w:sz="0" w:space="0" w:color="auto"/>
        <w:left w:val="none" w:sz="0" w:space="0" w:color="auto"/>
        <w:bottom w:val="none" w:sz="0" w:space="0" w:color="auto"/>
        <w:right w:val="none" w:sz="0" w:space="0" w:color="auto"/>
      </w:divBdr>
    </w:div>
    <w:div w:id="816650836">
      <w:bodyDiv w:val="1"/>
      <w:marLeft w:val="0"/>
      <w:marRight w:val="0"/>
      <w:marTop w:val="0"/>
      <w:marBottom w:val="0"/>
      <w:divBdr>
        <w:top w:val="none" w:sz="0" w:space="0" w:color="auto"/>
        <w:left w:val="none" w:sz="0" w:space="0" w:color="auto"/>
        <w:bottom w:val="none" w:sz="0" w:space="0" w:color="auto"/>
        <w:right w:val="none" w:sz="0" w:space="0" w:color="auto"/>
      </w:divBdr>
    </w:div>
    <w:div w:id="878081239">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78069161">
      <w:bodyDiv w:val="1"/>
      <w:marLeft w:val="0"/>
      <w:marRight w:val="0"/>
      <w:marTop w:val="0"/>
      <w:marBottom w:val="0"/>
      <w:divBdr>
        <w:top w:val="none" w:sz="0" w:space="0" w:color="auto"/>
        <w:left w:val="none" w:sz="0" w:space="0" w:color="auto"/>
        <w:bottom w:val="none" w:sz="0" w:space="0" w:color="auto"/>
        <w:right w:val="none" w:sz="0" w:space="0" w:color="auto"/>
      </w:divBdr>
    </w:div>
    <w:div w:id="1142849514">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53900773">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9742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ouncil.oxford.gov.uk/documents/s81644/Cabinet%20Report%20Barton%20Park%20acquisitions%2016%20Oct%202024%20v3%2019%20Sept.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ycouncilpages.oxford.gov.uk/documents/s80822/Cabinet%20Report%20Barton%20Park%20acquisitions%2016%20Oct%202024%20v3%2019%20Sep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mgIssueHistoryHome.aspx?IId=39752&amp;PlanId=525&amp;RPID=5142444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b9d16b-f8bd-422f-89c3-eed061d223ca">
      <Terms xmlns="http://schemas.microsoft.com/office/infopath/2007/PartnerControls"/>
    </lcf76f155ced4ddcb4097134ff3c332f>
    <TaxCatchAll xmlns="0073256b-31ef-42c3-88ff-5493bf852c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4D67F6E718FE4090B3DD18790E45B5" ma:contentTypeVersion="15" ma:contentTypeDescription="Create a new document." ma:contentTypeScope="" ma:versionID="b1a718b2fb074d3d2c35da8f8891d8af">
  <xsd:schema xmlns:xsd="http://www.w3.org/2001/XMLSchema" xmlns:xs="http://www.w3.org/2001/XMLSchema" xmlns:p="http://schemas.microsoft.com/office/2006/metadata/properties" xmlns:ns2="01b9d16b-f8bd-422f-89c3-eed061d223ca" xmlns:ns3="0073256b-31ef-42c3-88ff-5493bf852c6e" targetNamespace="http://schemas.microsoft.com/office/2006/metadata/properties" ma:root="true" ma:fieldsID="dfabd26700867993bdb9f9d5a72e154e" ns2:_="" ns3:_="">
    <xsd:import namespace="01b9d16b-f8bd-422f-89c3-eed061d223ca"/>
    <xsd:import namespace="0073256b-31ef-42c3-88ff-5493bf852c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9d16b-f8bd-422f-89c3-eed061d22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3256b-31ef-42c3-88ff-5493bf852c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c6bcb9-29c4-4c5d-b42e-90678304b414}" ma:internalName="TaxCatchAll" ma:showField="CatchAllData" ma:web="0073256b-31ef-42c3-88ff-5493bf852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2.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01b9d16b-f8bd-422f-89c3-eed061d223ca"/>
    <ds:schemaRef ds:uri="0073256b-31ef-42c3-88ff-5493bf852c6e"/>
  </ds:schemaRefs>
</ds:datastoreItem>
</file>

<file path=customXml/itemProps3.xml><?xml version="1.0" encoding="utf-8"?>
<ds:datastoreItem xmlns:ds="http://schemas.openxmlformats.org/officeDocument/2006/customXml" ds:itemID="{8033E5A6-61F1-43B3-95CF-AEBA92C2A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9d16b-f8bd-422f-89c3-eed061d223ca"/>
    <ds:schemaRef ds:uri="0073256b-31ef-42c3-88ff-5493bf85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7CC2E-EC74-4FED-BADF-DBB7A79ED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1894</Words>
  <Characters>10798</Characters>
  <Application>Microsoft Office Word</Application>
  <DocSecurity>0</DocSecurity>
  <Lines>89</Lines>
  <Paragraphs>25</Paragraphs>
  <ScaleCrop>false</ScaleCrop>
  <Company>Oxford City Council</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MCCOLLUM Brenda</cp:lastModifiedBy>
  <cp:revision>170</cp:revision>
  <cp:lastPrinted>2015-07-03T21:50:00Z</cp:lastPrinted>
  <dcterms:created xsi:type="dcterms:W3CDTF">2025-09-26T22:08:00Z</dcterms:created>
  <dcterms:modified xsi:type="dcterms:W3CDTF">2025-12-11T11:34:00Z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0x0101001A4D67F6E718FE4090B3DD18790E45B5</vt:lpwstr>
  </property>
  <property fmtid="{D5CDD505-2E9C-101B-9397-08002B2CF9AE}" pid="3" name="MediaServiceImageTags">
    <vt:lpwstr/>
  </property>
  <property fmtid="{D5CDD505-2E9C-101B-9397-08002B2CF9AE}" pid="4" name="docLang">
    <vt:lpwstr>en</vt:lpwstr>
  </property>
</Properties>
</file>